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0CD7C" w14:textId="203A00D3" w:rsidR="003C5021" w:rsidRPr="006361ED" w:rsidRDefault="003C5021" w:rsidP="003C5021">
      <w:pPr>
        <w:tabs>
          <w:tab w:val="right" w:pos="9900"/>
        </w:tabs>
        <w:rPr>
          <w:rFonts w:ascii="Arial" w:hAnsi="Arial" w:cs="Arial"/>
          <w:b/>
          <w:bCs/>
        </w:rPr>
      </w:pPr>
      <w:bookmarkStart w:id="0" w:name="_Hlk506372364"/>
      <w:bookmarkStart w:id="1" w:name="_Hlk528690804"/>
      <w:bookmarkStart w:id="2" w:name="OLE_LINK6"/>
      <w:bookmarkStart w:id="3" w:name="OLE_LINK7"/>
      <w:r w:rsidRPr="00876D6D">
        <w:rPr>
          <w:rFonts w:ascii="Arial" w:hAnsi="Arial" w:cs="Arial"/>
          <w:b/>
          <w:bCs/>
        </w:rPr>
        <w:t xml:space="preserve">3GPP TSG RAN WG1 Meeting </w:t>
      </w:r>
      <w:bookmarkEnd w:id="0"/>
      <w:r w:rsidR="00B2752E">
        <w:rPr>
          <w:rFonts w:ascii="Arial" w:hAnsi="Arial" w:cs="Arial"/>
          <w:b/>
          <w:bCs/>
        </w:rPr>
        <w:t>AH</w:t>
      </w:r>
      <w:r w:rsidR="003618AC">
        <w:rPr>
          <w:rFonts w:ascii="Arial" w:hAnsi="Arial" w:cs="Arial"/>
          <w:b/>
          <w:bCs/>
        </w:rPr>
        <w:t>-</w:t>
      </w:r>
      <w:r w:rsidR="00B2752E">
        <w:rPr>
          <w:rFonts w:ascii="Arial" w:hAnsi="Arial" w:cs="Arial"/>
          <w:b/>
          <w:bCs/>
        </w:rPr>
        <w:t>1901</w:t>
      </w:r>
      <w:r w:rsidR="00A27E51">
        <w:rPr>
          <w:rFonts w:ascii="Arial" w:hAnsi="Arial" w:cs="Arial"/>
          <w:b/>
          <w:bCs/>
        </w:rPr>
        <w:tab/>
        <w:t>R1-</w:t>
      </w:r>
      <w:r w:rsidR="00E378C0">
        <w:rPr>
          <w:rFonts w:ascii="Arial" w:hAnsi="Arial" w:cs="Arial"/>
          <w:b/>
          <w:bCs/>
        </w:rPr>
        <w:t>1900871</w:t>
      </w:r>
    </w:p>
    <w:p w14:paraId="2737B35D" w14:textId="67541AF1" w:rsidR="003C5021" w:rsidRPr="006361ED" w:rsidRDefault="00B2752E" w:rsidP="003C5021">
      <w:pPr>
        <w:tabs>
          <w:tab w:val="right" w:pos="9900"/>
        </w:tabs>
        <w:rPr>
          <w:rFonts w:ascii="Arial" w:hAnsi="Arial" w:cs="Arial"/>
          <w:b/>
          <w:bCs/>
        </w:rPr>
      </w:pPr>
      <w:r>
        <w:rPr>
          <w:rFonts w:ascii="Arial" w:hAnsi="Arial" w:cs="Arial"/>
          <w:b/>
          <w:bCs/>
        </w:rPr>
        <w:t>Taipei</w:t>
      </w:r>
      <w:r w:rsidR="00177A20">
        <w:rPr>
          <w:rFonts w:ascii="Arial" w:hAnsi="Arial" w:cs="Arial"/>
          <w:b/>
          <w:bCs/>
        </w:rPr>
        <w:t xml:space="preserve">, </w:t>
      </w:r>
      <w:r>
        <w:rPr>
          <w:rFonts w:ascii="Arial" w:hAnsi="Arial" w:cs="Arial"/>
          <w:b/>
          <w:bCs/>
        </w:rPr>
        <w:t>Taiwan</w:t>
      </w:r>
    </w:p>
    <w:p w14:paraId="1EE8BBCC" w14:textId="09A06ECB" w:rsidR="003C5021" w:rsidRPr="006361ED" w:rsidRDefault="00B2752E" w:rsidP="003C5021">
      <w:pPr>
        <w:tabs>
          <w:tab w:val="right" w:pos="9900"/>
        </w:tabs>
        <w:rPr>
          <w:rFonts w:ascii="Arial" w:hAnsi="Arial" w:cs="Arial"/>
          <w:b/>
          <w:bCs/>
        </w:rPr>
      </w:pPr>
      <w:r>
        <w:rPr>
          <w:rFonts w:ascii="Arial" w:hAnsi="Arial" w:cs="Arial"/>
          <w:b/>
          <w:bCs/>
        </w:rPr>
        <w:t>Jan</w:t>
      </w:r>
      <w:r w:rsidR="003C5021" w:rsidRPr="006361ED">
        <w:rPr>
          <w:rFonts w:ascii="Arial" w:hAnsi="Arial" w:cs="Arial"/>
          <w:b/>
          <w:bCs/>
        </w:rPr>
        <w:t xml:space="preserve">. </w:t>
      </w:r>
      <w:r>
        <w:rPr>
          <w:rFonts w:ascii="Arial" w:hAnsi="Arial" w:cs="Arial"/>
          <w:b/>
          <w:bCs/>
        </w:rPr>
        <w:t>21st</w:t>
      </w:r>
      <w:r w:rsidR="003C5021" w:rsidRPr="006361ED">
        <w:rPr>
          <w:rFonts w:ascii="Arial" w:hAnsi="Arial" w:cs="Arial"/>
          <w:b/>
          <w:bCs/>
        </w:rPr>
        <w:t xml:space="preserve"> – </w:t>
      </w:r>
      <w:r>
        <w:rPr>
          <w:rFonts w:ascii="Arial" w:hAnsi="Arial" w:cs="Arial"/>
          <w:b/>
          <w:bCs/>
        </w:rPr>
        <w:t>Jan</w:t>
      </w:r>
      <w:r w:rsidR="003C5021" w:rsidRPr="006361ED">
        <w:rPr>
          <w:rFonts w:ascii="Arial" w:hAnsi="Arial" w:cs="Arial"/>
          <w:b/>
          <w:bCs/>
        </w:rPr>
        <w:t xml:space="preserve">. </w:t>
      </w:r>
      <w:r>
        <w:rPr>
          <w:rFonts w:ascii="Arial" w:hAnsi="Arial" w:cs="Arial"/>
          <w:b/>
          <w:bCs/>
        </w:rPr>
        <w:t>25th, 2019</w:t>
      </w:r>
    </w:p>
    <w:bookmarkEnd w:id="1"/>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001EBE" w:rsidRDefault="007560B7" w:rsidP="00C418D9">
      <w:pPr>
        <w:rPr>
          <w:rFonts w:ascii="Arial" w:hAnsi="Arial" w:cs="Arial"/>
          <w:b/>
        </w:rPr>
      </w:pPr>
      <w:r w:rsidRPr="00001EBE">
        <w:rPr>
          <w:rFonts w:ascii="Arial" w:hAnsi="Arial" w:cs="Arial"/>
          <w:b/>
        </w:rPr>
        <w:t xml:space="preserve">Agenda item: </w:t>
      </w:r>
      <w:r w:rsidR="00335B11" w:rsidRPr="00001EBE">
        <w:rPr>
          <w:rFonts w:ascii="Arial" w:hAnsi="Arial" w:cs="Arial"/>
          <w:b/>
        </w:rPr>
        <w:t xml:space="preserve">   </w:t>
      </w:r>
      <w:r w:rsidR="003C5021">
        <w:rPr>
          <w:rFonts w:ascii="Arial" w:hAnsi="Arial" w:cs="Arial"/>
          <w:b/>
        </w:rPr>
        <w:t>7.2.2</w:t>
      </w:r>
      <w:r w:rsidR="00E0182F" w:rsidRPr="00001EBE">
        <w:rPr>
          <w:rFonts w:ascii="Arial" w:hAnsi="Arial" w:cs="Arial"/>
          <w:b/>
        </w:rPr>
        <w:t>.</w:t>
      </w:r>
      <w:r w:rsidR="00B2752E">
        <w:rPr>
          <w:rFonts w:ascii="Arial" w:hAnsi="Arial" w:cs="Arial"/>
          <w:b/>
        </w:rPr>
        <w:t>1.2</w:t>
      </w:r>
    </w:p>
    <w:p w14:paraId="38C90A73" w14:textId="00DA3F5E" w:rsidR="007560B7" w:rsidRPr="00001EBE" w:rsidRDefault="007560B7" w:rsidP="00C418D9">
      <w:pPr>
        <w:rPr>
          <w:rFonts w:ascii="Arial" w:hAnsi="Arial" w:cs="Arial"/>
          <w:b/>
        </w:rPr>
      </w:pPr>
      <w:r w:rsidRPr="00001EBE">
        <w:rPr>
          <w:rFonts w:ascii="Arial" w:hAnsi="Arial" w:cs="Arial"/>
          <w:b/>
        </w:rPr>
        <w:t>Source:             Qualcomm</w:t>
      </w:r>
      <w:r w:rsidRPr="00001EBE">
        <w:rPr>
          <w:rFonts w:ascii="Arial" w:eastAsia="SimSun" w:hAnsi="Arial" w:cs="Arial"/>
          <w:b/>
          <w:lang w:eastAsia="zh-CN"/>
        </w:rPr>
        <w:t xml:space="preserve"> </w:t>
      </w:r>
      <w:r w:rsidRPr="00001EBE">
        <w:rPr>
          <w:rFonts w:ascii="Arial" w:hAnsi="Arial" w:cs="Arial"/>
          <w:b/>
        </w:rPr>
        <w:t>Incorporated</w:t>
      </w:r>
    </w:p>
    <w:p w14:paraId="7FABE148" w14:textId="780BBF4D" w:rsidR="00335B11" w:rsidRPr="00001EBE" w:rsidRDefault="007560B7" w:rsidP="00C418D9">
      <w:pPr>
        <w:rPr>
          <w:rFonts w:ascii="Arial" w:hAnsi="Arial" w:cs="Arial"/>
          <w:b/>
        </w:rPr>
      </w:pPr>
      <w:r w:rsidRPr="00001EBE">
        <w:rPr>
          <w:rFonts w:ascii="Arial" w:hAnsi="Arial" w:cs="Arial"/>
          <w:b/>
        </w:rPr>
        <w:t xml:space="preserve">Title:                  </w:t>
      </w:r>
      <w:r w:rsidR="005A68EC" w:rsidRPr="00001EBE">
        <w:rPr>
          <w:rFonts w:ascii="Arial" w:hAnsi="Arial" w:cs="Arial"/>
          <w:b/>
        </w:rPr>
        <w:t>DL signals and channels for NR-U</w:t>
      </w:r>
    </w:p>
    <w:p w14:paraId="62BEAD57" w14:textId="1F2ABDC3" w:rsidR="007560B7" w:rsidRPr="00001EBE" w:rsidRDefault="007560B7" w:rsidP="00C418D9">
      <w:pPr>
        <w:rPr>
          <w:rFonts w:ascii="Arial" w:hAnsi="Arial" w:cs="Arial"/>
          <w:b/>
        </w:rPr>
      </w:pPr>
      <w:r w:rsidRPr="00001EBE">
        <w:rPr>
          <w:rFonts w:ascii="Arial" w:hAnsi="Arial" w:cs="Arial"/>
          <w:b/>
        </w:rPr>
        <w:t>Document for:  Discussion</w:t>
      </w:r>
      <w:r w:rsidRPr="00001EBE">
        <w:rPr>
          <w:rFonts w:ascii="Arial" w:eastAsia="SimSun" w:hAnsi="Arial" w:cs="Arial"/>
          <w:b/>
          <w:lang w:eastAsia="zh-CN"/>
        </w:rPr>
        <w:t xml:space="preserve"> and </w:t>
      </w:r>
      <w:r w:rsidRPr="00001EBE">
        <w:rPr>
          <w:rFonts w:ascii="Arial" w:hAnsi="Arial" w:cs="Arial"/>
          <w:b/>
        </w:rPr>
        <w:t>Decision</w:t>
      </w:r>
    </w:p>
    <w:p w14:paraId="757B6310" w14:textId="6025996E" w:rsidR="00985B1D" w:rsidRPr="00985B1D" w:rsidRDefault="00985B1D" w:rsidP="00985B1D">
      <w:pPr>
        <w:pStyle w:val="Heading1"/>
        <w:numPr>
          <w:ilvl w:val="0"/>
          <w:numId w:val="3"/>
        </w:numPr>
      </w:pPr>
      <w:r w:rsidRPr="00392E7D">
        <w:t>Introduction</w:t>
      </w:r>
    </w:p>
    <w:p w14:paraId="78F1111E" w14:textId="5582C5FE" w:rsidR="00C6299C" w:rsidRDefault="00215737" w:rsidP="00C6299C">
      <w:r w:rsidRPr="00815A08">
        <w:rPr>
          <w:szCs w:val="20"/>
        </w:rPr>
        <w:t>In RAN#</w:t>
      </w:r>
      <w:r>
        <w:rPr>
          <w:szCs w:val="20"/>
        </w:rPr>
        <w:t>82</w:t>
      </w:r>
      <w:r w:rsidRPr="00815A08">
        <w:rPr>
          <w:szCs w:val="20"/>
        </w:rPr>
        <w:t xml:space="preserve"> a new </w:t>
      </w:r>
      <w:r>
        <w:rPr>
          <w:szCs w:val="20"/>
        </w:rPr>
        <w:t xml:space="preserve">WI [1] was approved </w:t>
      </w:r>
      <w:r w:rsidRPr="00815A08">
        <w:rPr>
          <w:szCs w:val="20"/>
        </w:rPr>
        <w:t>for NR based access to unlicensed spectrum</w:t>
      </w:r>
      <w:r>
        <w:rPr>
          <w:szCs w:val="20"/>
        </w:rPr>
        <w:t xml:space="preserve"> following the closure of corresponding SI [2,</w:t>
      </w:r>
      <w:r w:rsidR="002718B2">
        <w:rPr>
          <w:szCs w:val="20"/>
        </w:rPr>
        <w:t xml:space="preserve"> </w:t>
      </w:r>
      <w:r>
        <w:rPr>
          <w:szCs w:val="20"/>
        </w:rPr>
        <w:t>3]</w:t>
      </w:r>
      <w:r w:rsidRPr="00815A08">
        <w:rPr>
          <w:szCs w:val="20"/>
        </w:rPr>
        <w:t xml:space="preserve">. The objectives of the </w:t>
      </w:r>
      <w:r>
        <w:rPr>
          <w:szCs w:val="20"/>
        </w:rPr>
        <w:t>W</w:t>
      </w:r>
      <w:r w:rsidRPr="00815A08">
        <w:rPr>
          <w:szCs w:val="20"/>
        </w:rPr>
        <w:t xml:space="preserve">I include </w:t>
      </w:r>
      <w:r>
        <w:rPr>
          <w:szCs w:val="20"/>
        </w:rPr>
        <w:t xml:space="preserve">specifying the </w:t>
      </w:r>
      <w:r w:rsidRPr="00815A08">
        <w:rPr>
          <w:szCs w:val="20"/>
        </w:rPr>
        <w:t>following</w:t>
      </w:r>
      <w:r>
        <w:rPr>
          <w:szCs w:val="20"/>
        </w:rPr>
        <w:t xml:space="preserve"> for </w:t>
      </w:r>
      <w:r w:rsidR="00C6299C">
        <w:t>DL signals and channels for NR-U:</w:t>
      </w:r>
    </w:p>
    <w:p w14:paraId="5F53D876" w14:textId="215DD53D" w:rsidR="00242725" w:rsidRDefault="00C6299C" w:rsidP="00C6299C">
      <w:pPr>
        <w:pStyle w:val="ListParagraph"/>
        <w:numPr>
          <w:ilvl w:val="0"/>
          <w:numId w:val="21"/>
        </w:numPr>
      </w:pPr>
      <w:r>
        <w:rPr>
          <w:lang w:eastAsia="ja-JP"/>
        </w:rPr>
        <w:t>Subcarrier spacing for control and data channels supporting 15kHz, 30kHz, and 60kHz (air-interface perspective; optionality to be discussed separately).</w:t>
      </w:r>
    </w:p>
    <w:p w14:paraId="35E41ADA" w14:textId="150AB6D0" w:rsidR="00C6299C" w:rsidRDefault="00C6299C" w:rsidP="00C6299C">
      <w:pPr>
        <w:pStyle w:val="ListParagraph"/>
        <w:numPr>
          <w:ilvl w:val="0"/>
          <w:numId w:val="21"/>
        </w:numPr>
      </w:pPr>
      <w:r>
        <w:rPr>
          <w:lang w:eastAsia="ja-JP"/>
        </w:rPr>
        <w:t>For DL data channel, support of multiple PDSCH starting positions.</w:t>
      </w:r>
    </w:p>
    <w:p w14:paraId="6C036F6A" w14:textId="77777777" w:rsidR="00C6299C" w:rsidRDefault="00C6299C" w:rsidP="00C6299C">
      <w:pPr>
        <w:pStyle w:val="ListParagraph"/>
        <w:numPr>
          <w:ilvl w:val="0"/>
          <w:numId w:val="21"/>
        </w:numPr>
      </w:pPr>
      <w:r>
        <w:t xml:space="preserve">Mechanism to detect a </w:t>
      </w:r>
      <w:proofErr w:type="spellStart"/>
      <w:r>
        <w:t>gNB’s</w:t>
      </w:r>
      <w:proofErr w:type="spellEnd"/>
      <w:r>
        <w:t xml:space="preserve"> transmission burst in line with the TR 38.889, Section 7.2.1.2 related to UE power consumption.</w:t>
      </w:r>
    </w:p>
    <w:p w14:paraId="571403B5" w14:textId="63A41DCB" w:rsidR="00C6299C" w:rsidRDefault="00C6299C" w:rsidP="00C6299C">
      <w:pPr>
        <w:pStyle w:val="ListParagraph"/>
        <w:numPr>
          <w:ilvl w:val="0"/>
          <w:numId w:val="21"/>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4F29B40C" w14:textId="1A0E62D7" w:rsidR="00C6299C" w:rsidRPr="00242725" w:rsidRDefault="00C6299C" w:rsidP="00C6299C">
      <w:pPr>
        <w:pStyle w:val="ListParagraph"/>
        <w:numPr>
          <w:ilvl w:val="0"/>
          <w:numId w:val="21"/>
        </w:numPr>
      </w:pPr>
      <w:r>
        <w:rPr>
          <w:lang w:eastAsia="ja-JP"/>
        </w:rPr>
        <w:t xml:space="preserve">Data </w:t>
      </w:r>
      <w:r>
        <w:t>multiplexing aspects (for both UL and DL) considering LBT and channel access priorities. (RAN1/RAN2)</w:t>
      </w:r>
    </w:p>
    <w:p w14:paraId="539ABE8B" w14:textId="065A2139" w:rsidR="00215737" w:rsidRDefault="00215737" w:rsidP="00B2715F">
      <w:pPr>
        <w:rPr>
          <w:szCs w:val="20"/>
        </w:rPr>
      </w:pPr>
      <w:r w:rsidRPr="009A35AA">
        <w:rPr>
          <w:szCs w:val="20"/>
        </w:rPr>
        <w:t xml:space="preserve">The agreements and conclusions from the SI phase are captured in [4]. </w:t>
      </w:r>
      <w:r w:rsidRPr="005F5662">
        <w:rPr>
          <w:szCs w:val="20"/>
        </w:rPr>
        <w:t xml:space="preserve">In this contribution, we present our views on </w:t>
      </w:r>
      <w:r>
        <w:rPr>
          <w:szCs w:val="20"/>
        </w:rPr>
        <w:t>some of the remaining aspects of DL signals and channels.</w:t>
      </w:r>
    </w:p>
    <w:p w14:paraId="3DBF4C79" w14:textId="070C8BB0" w:rsidR="00B2715F" w:rsidRPr="00B2715F" w:rsidRDefault="00215737" w:rsidP="004F0B22">
      <w:pPr>
        <w:pStyle w:val="Heading1"/>
      </w:pPr>
      <w:r>
        <w:t>Previous Agreements</w:t>
      </w:r>
    </w:p>
    <w:p w14:paraId="6EE581C4" w14:textId="740F77F7" w:rsidR="00B2715F" w:rsidRPr="0040032E" w:rsidRDefault="00B2715F" w:rsidP="00B2715F">
      <w:pPr>
        <w:rPr>
          <w:szCs w:val="20"/>
          <w:u w:val="single"/>
        </w:rPr>
      </w:pPr>
      <w:r w:rsidRPr="0040032E">
        <w:rPr>
          <w:szCs w:val="20"/>
          <w:u w:val="single"/>
        </w:rPr>
        <w:t xml:space="preserve">RAN1#92bis – </w:t>
      </w:r>
      <w:bookmarkStart w:id="4" w:name="_Toc511072847"/>
      <w:r w:rsidRPr="0040032E">
        <w:rPr>
          <w:szCs w:val="20"/>
          <w:u w:val="single"/>
        </w:rPr>
        <w:t>7.6.2</w:t>
      </w:r>
      <w:r>
        <w:rPr>
          <w:szCs w:val="20"/>
          <w:u w:val="single"/>
        </w:rPr>
        <w:t xml:space="preserve"> </w:t>
      </w:r>
      <w:r w:rsidRPr="0040032E">
        <w:rPr>
          <w:u w:val="single"/>
        </w:rPr>
        <w:t>Frame structure for NR-U operation</w:t>
      </w:r>
      <w:bookmarkEnd w:id="4"/>
    </w:p>
    <w:p w14:paraId="75B024CD" w14:textId="77777777" w:rsidR="00B2715F" w:rsidRPr="0040032E" w:rsidRDefault="00B2715F" w:rsidP="00B2715F">
      <w:r w:rsidRPr="0040032E">
        <w:rPr>
          <w:highlight w:val="green"/>
        </w:rPr>
        <w:t>Agreement:</w:t>
      </w:r>
    </w:p>
    <w:p w14:paraId="0180BC32" w14:textId="77777777" w:rsidR="00B2715F" w:rsidRPr="0040032E" w:rsidRDefault="00B2715F" w:rsidP="00B2715F">
      <w:pPr>
        <w:numPr>
          <w:ilvl w:val="0"/>
          <w:numId w:val="23"/>
        </w:numPr>
        <w:wordWrap/>
        <w:overflowPunct/>
        <w:autoSpaceDE/>
        <w:autoSpaceDN/>
        <w:adjustRightInd/>
        <w:spacing w:after="0"/>
        <w:textAlignment w:val="auto"/>
      </w:pPr>
      <w:r w:rsidRPr="0040032E">
        <w:t xml:space="preserve">NR-U supports both Type-A and Type-B mapping already supported in NR </w:t>
      </w:r>
    </w:p>
    <w:p w14:paraId="42C0770C" w14:textId="77777777" w:rsidR="00B2715F" w:rsidRPr="0040032E" w:rsidRDefault="00B2715F" w:rsidP="00B2715F">
      <w:pPr>
        <w:numPr>
          <w:ilvl w:val="1"/>
          <w:numId w:val="22"/>
        </w:numPr>
        <w:wordWrap/>
        <w:overflowPunct/>
        <w:autoSpaceDE/>
        <w:autoSpaceDN/>
        <w:adjustRightInd/>
        <w:spacing w:after="0"/>
        <w:textAlignment w:val="auto"/>
      </w:pPr>
      <w:r w:rsidRPr="0040032E">
        <w:t>Additional starting positions and durations are not precluded</w:t>
      </w:r>
    </w:p>
    <w:p w14:paraId="6CA3D9A1" w14:textId="77777777" w:rsidR="00B2715F" w:rsidRPr="0040032E" w:rsidRDefault="00B2715F" w:rsidP="004F0B22">
      <w:pPr>
        <w:pStyle w:val="ListParagraph"/>
        <w:numPr>
          <w:ilvl w:val="0"/>
          <w:numId w:val="22"/>
        </w:numPr>
        <w:overflowPunct/>
        <w:adjustRightInd/>
        <w:spacing w:after="0"/>
        <w:jc w:val="both"/>
        <w:textAlignment w:val="auto"/>
      </w:pPr>
      <w:r w:rsidRPr="0040032E">
        <w:t>For sub-7 GHz, NR-U study the SCSs, 15/30/60KHz</w:t>
      </w:r>
    </w:p>
    <w:p w14:paraId="64E0EBB9" w14:textId="77777777" w:rsidR="00B2715F" w:rsidRPr="0040032E" w:rsidRDefault="00B2715F" w:rsidP="00B2715F">
      <w:pPr>
        <w:numPr>
          <w:ilvl w:val="1"/>
          <w:numId w:val="22"/>
        </w:numPr>
        <w:wordWrap/>
        <w:overflowPunct/>
        <w:autoSpaceDE/>
        <w:autoSpaceDN/>
        <w:adjustRightInd/>
        <w:spacing w:after="0"/>
        <w:textAlignment w:val="auto"/>
      </w:pPr>
      <w:r w:rsidRPr="0040032E">
        <w:t>Study performance difference between different SCS</w:t>
      </w:r>
    </w:p>
    <w:p w14:paraId="23C00A53" w14:textId="77777777" w:rsidR="00B2715F" w:rsidRPr="0040032E" w:rsidRDefault="00B2715F" w:rsidP="00B2715F">
      <w:pPr>
        <w:numPr>
          <w:ilvl w:val="1"/>
          <w:numId w:val="22"/>
        </w:numPr>
        <w:wordWrap/>
        <w:overflowPunct/>
        <w:autoSpaceDE/>
        <w:autoSpaceDN/>
        <w:adjustRightInd/>
        <w:spacing w:after="0"/>
        <w:textAlignment w:val="auto"/>
      </w:pPr>
      <w:r w:rsidRPr="0040032E">
        <w:t>Study if changes to UL design are needed to meet the PSD and OCB requirements</w:t>
      </w:r>
    </w:p>
    <w:p w14:paraId="1958DE22"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Study if an SS block design/RMSI/OSI with 60KHz SCS is needed </w:t>
      </w:r>
    </w:p>
    <w:p w14:paraId="014E78E0"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Impact on MIB and SIB1 content </w:t>
      </w:r>
    </w:p>
    <w:p w14:paraId="3A7FD788" w14:textId="77777777" w:rsidR="00B2715F" w:rsidRPr="0040032E" w:rsidRDefault="00B2715F" w:rsidP="00B2715F">
      <w:pPr>
        <w:numPr>
          <w:ilvl w:val="1"/>
          <w:numId w:val="22"/>
        </w:numPr>
        <w:wordWrap/>
        <w:overflowPunct/>
        <w:autoSpaceDE/>
        <w:autoSpaceDN/>
        <w:adjustRightInd/>
        <w:spacing w:after="0"/>
        <w:textAlignment w:val="auto"/>
      </w:pPr>
      <w:r w:rsidRPr="0040032E">
        <w:t>Need for use of ECP for 60KHz</w:t>
      </w:r>
    </w:p>
    <w:p w14:paraId="557C520D" w14:textId="77777777" w:rsidR="00B2715F" w:rsidRPr="0040032E" w:rsidRDefault="00B2715F" w:rsidP="00B2715F">
      <w:pPr>
        <w:numPr>
          <w:ilvl w:val="1"/>
          <w:numId w:val="22"/>
        </w:numPr>
        <w:wordWrap/>
        <w:overflowPunct/>
        <w:autoSpaceDE/>
        <w:autoSpaceDN/>
        <w:adjustRightInd/>
        <w:spacing w:after="0"/>
        <w:textAlignment w:val="auto"/>
      </w:pPr>
      <w:r w:rsidRPr="0040032E">
        <w:t>RACH design with 60KHz SCS in addition to options currently part of NR</w:t>
      </w:r>
    </w:p>
    <w:p w14:paraId="1D649344"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Other considerations are not precluded. </w:t>
      </w:r>
    </w:p>
    <w:p w14:paraId="367269AD" w14:textId="77777777" w:rsidR="00B2715F" w:rsidRPr="0040032E" w:rsidRDefault="00B2715F" w:rsidP="00B2715F">
      <w:pPr>
        <w:numPr>
          <w:ilvl w:val="1"/>
          <w:numId w:val="22"/>
        </w:numPr>
        <w:wordWrap/>
        <w:overflowPunct/>
        <w:autoSpaceDE/>
        <w:autoSpaceDN/>
        <w:adjustRightInd/>
        <w:spacing w:after="0"/>
        <w:textAlignment w:val="auto"/>
      </w:pPr>
      <w:r w:rsidRPr="0040032E">
        <w:t>Impact on support of different BWs with different SCS</w:t>
      </w:r>
    </w:p>
    <w:p w14:paraId="5E4CE0BF" w14:textId="77777777" w:rsidR="00B2715F" w:rsidRPr="0040032E" w:rsidRDefault="00B2715F" w:rsidP="00B2715F">
      <w:pPr>
        <w:numPr>
          <w:ilvl w:val="0"/>
          <w:numId w:val="22"/>
        </w:numPr>
        <w:wordWrap/>
        <w:overflowPunct/>
        <w:autoSpaceDE/>
        <w:autoSpaceDN/>
        <w:adjustRightInd/>
        <w:spacing w:after="0"/>
        <w:textAlignment w:val="auto"/>
      </w:pPr>
      <w:r w:rsidRPr="0040032E">
        <w:t xml:space="preserve">Study supporting more than one switching points within a </w:t>
      </w:r>
      <w:proofErr w:type="spellStart"/>
      <w:r w:rsidRPr="0040032E">
        <w:t>TxOP</w:t>
      </w:r>
      <w:proofErr w:type="spellEnd"/>
    </w:p>
    <w:p w14:paraId="4656E37E" w14:textId="77777777" w:rsidR="00B2715F" w:rsidRPr="0040032E" w:rsidRDefault="00B2715F" w:rsidP="00B2715F">
      <w:pPr>
        <w:numPr>
          <w:ilvl w:val="1"/>
          <w:numId w:val="22"/>
        </w:numPr>
        <w:wordWrap/>
        <w:overflowPunct/>
        <w:autoSpaceDE/>
        <w:autoSpaceDN/>
        <w:adjustRightInd/>
        <w:spacing w:after="0"/>
        <w:textAlignment w:val="auto"/>
      </w:pPr>
      <w:r w:rsidRPr="0040032E">
        <w:t xml:space="preserve">FFS the LBT requirement for each DL/UL data/control burst in the </w:t>
      </w:r>
      <w:proofErr w:type="spellStart"/>
      <w:r w:rsidRPr="0040032E">
        <w:t>TxOP</w:t>
      </w:r>
      <w:proofErr w:type="spellEnd"/>
    </w:p>
    <w:p w14:paraId="0E622607" w14:textId="77777777" w:rsidR="00B2715F" w:rsidRPr="0040032E" w:rsidRDefault="00B2715F" w:rsidP="00B2715F">
      <w:pPr>
        <w:rPr>
          <w:szCs w:val="20"/>
          <w:u w:val="single"/>
        </w:rPr>
      </w:pPr>
    </w:p>
    <w:p w14:paraId="6659986F" w14:textId="1BA40CAE" w:rsidR="00B2715F" w:rsidRPr="0040032E" w:rsidRDefault="00B2715F" w:rsidP="00B2715F">
      <w:pPr>
        <w:rPr>
          <w:szCs w:val="20"/>
          <w:u w:val="single"/>
        </w:rPr>
      </w:pPr>
      <w:bookmarkStart w:id="5" w:name="_Toc511072848"/>
      <w:r>
        <w:rPr>
          <w:szCs w:val="20"/>
          <w:u w:val="single"/>
        </w:rPr>
        <w:t xml:space="preserve">RAN1#92bis – 7.6.3 </w:t>
      </w:r>
      <w:r w:rsidRPr="0040032E">
        <w:rPr>
          <w:u w:val="single"/>
        </w:rPr>
        <w:t>Potential physical layer channel design</w:t>
      </w:r>
      <w:bookmarkEnd w:id="5"/>
    </w:p>
    <w:p w14:paraId="1639B584" w14:textId="77777777" w:rsidR="00B2715F" w:rsidRPr="0040032E" w:rsidRDefault="00B2715F" w:rsidP="00B2715F">
      <w:r w:rsidRPr="0040032E">
        <w:rPr>
          <w:highlight w:val="green"/>
        </w:rPr>
        <w:t>Agreements:</w:t>
      </w:r>
    </w:p>
    <w:p w14:paraId="3EF53E9A" w14:textId="77777777" w:rsidR="00B2715F" w:rsidRPr="0040032E" w:rsidRDefault="00B2715F" w:rsidP="00B2715F">
      <w:pPr>
        <w:numPr>
          <w:ilvl w:val="0"/>
          <w:numId w:val="22"/>
        </w:numPr>
        <w:wordWrap/>
        <w:overflowPunct/>
        <w:autoSpaceDE/>
        <w:autoSpaceDN/>
        <w:adjustRightInd/>
        <w:spacing w:after="0"/>
        <w:textAlignment w:val="auto"/>
      </w:pPr>
      <w:r w:rsidRPr="0040032E">
        <w:t>Study the design changes needed to support the following channels /signals in NR-U</w:t>
      </w:r>
    </w:p>
    <w:p w14:paraId="616F75E1" w14:textId="77777777" w:rsidR="00B2715F" w:rsidRPr="0040032E" w:rsidRDefault="00B2715F" w:rsidP="00B2715F">
      <w:pPr>
        <w:numPr>
          <w:ilvl w:val="1"/>
          <w:numId w:val="22"/>
        </w:numPr>
        <w:wordWrap/>
        <w:overflowPunct/>
        <w:autoSpaceDE/>
        <w:autoSpaceDN/>
        <w:adjustRightInd/>
        <w:spacing w:after="0"/>
        <w:textAlignment w:val="auto"/>
      </w:pPr>
      <w:r w:rsidRPr="0040032E">
        <w:t>PDCCH/PDSCH</w:t>
      </w:r>
    </w:p>
    <w:p w14:paraId="0C0A3413" w14:textId="77777777" w:rsidR="00B2715F" w:rsidRPr="0040032E" w:rsidRDefault="00B2715F" w:rsidP="00B2715F">
      <w:pPr>
        <w:numPr>
          <w:ilvl w:val="1"/>
          <w:numId w:val="22"/>
        </w:numPr>
        <w:wordWrap/>
        <w:overflowPunct/>
        <w:autoSpaceDE/>
        <w:autoSpaceDN/>
        <w:adjustRightInd/>
        <w:spacing w:after="0"/>
        <w:textAlignment w:val="auto"/>
      </w:pPr>
      <w:r w:rsidRPr="0040032E">
        <w:t>PUCCH/PUSCH</w:t>
      </w:r>
    </w:p>
    <w:p w14:paraId="7E7C6FA0" w14:textId="77777777" w:rsidR="00B2715F" w:rsidRPr="0040032E" w:rsidRDefault="00B2715F" w:rsidP="00B2715F">
      <w:pPr>
        <w:numPr>
          <w:ilvl w:val="1"/>
          <w:numId w:val="22"/>
        </w:numPr>
        <w:wordWrap/>
        <w:overflowPunct/>
        <w:autoSpaceDE/>
        <w:autoSpaceDN/>
        <w:adjustRightInd/>
        <w:spacing w:after="0"/>
        <w:textAlignment w:val="auto"/>
      </w:pPr>
      <w:r w:rsidRPr="0040032E">
        <w:t>PSS/SSS/PBCH</w:t>
      </w:r>
    </w:p>
    <w:p w14:paraId="06D34C35" w14:textId="77777777" w:rsidR="00B2715F" w:rsidRPr="0040032E" w:rsidRDefault="00B2715F" w:rsidP="00B2715F">
      <w:pPr>
        <w:numPr>
          <w:ilvl w:val="1"/>
          <w:numId w:val="22"/>
        </w:numPr>
        <w:wordWrap/>
        <w:overflowPunct/>
        <w:autoSpaceDE/>
        <w:autoSpaceDN/>
        <w:adjustRightInd/>
        <w:spacing w:after="0"/>
        <w:textAlignment w:val="auto"/>
      </w:pPr>
      <w:r w:rsidRPr="0040032E">
        <w:t>PRACH</w:t>
      </w:r>
    </w:p>
    <w:p w14:paraId="731F4320" w14:textId="77777777" w:rsidR="00B2715F" w:rsidRPr="0040032E" w:rsidRDefault="00B2715F" w:rsidP="00B2715F">
      <w:pPr>
        <w:numPr>
          <w:ilvl w:val="1"/>
          <w:numId w:val="22"/>
        </w:numPr>
        <w:wordWrap/>
        <w:overflowPunct/>
        <w:autoSpaceDE/>
        <w:autoSpaceDN/>
        <w:adjustRightInd/>
        <w:spacing w:after="0"/>
        <w:textAlignment w:val="auto"/>
      </w:pPr>
      <w:r w:rsidRPr="0040032E">
        <w:lastRenderedPageBreak/>
        <w:t>DL and UL reference signals applicable to the operational frequency range</w:t>
      </w:r>
    </w:p>
    <w:p w14:paraId="115F1378" w14:textId="77777777" w:rsidR="00B2715F" w:rsidRPr="0040032E" w:rsidRDefault="00B2715F" w:rsidP="00B2715F">
      <w:pPr>
        <w:rPr>
          <w:szCs w:val="20"/>
        </w:rPr>
      </w:pPr>
    </w:p>
    <w:p w14:paraId="6606B262" w14:textId="1A0ABA3D" w:rsidR="00E908BF" w:rsidRPr="0040032E" w:rsidRDefault="00E908BF" w:rsidP="00E908BF">
      <w:pPr>
        <w:rPr>
          <w:szCs w:val="20"/>
          <w:u w:val="single"/>
        </w:rPr>
      </w:pPr>
      <w:r w:rsidRPr="0040032E">
        <w:rPr>
          <w:szCs w:val="20"/>
          <w:u w:val="single"/>
        </w:rPr>
        <w:t>RAN1#93 - 7.6.</w:t>
      </w:r>
      <w:r>
        <w:rPr>
          <w:szCs w:val="20"/>
          <w:u w:val="single"/>
        </w:rPr>
        <w:t>2 Frame structure for NR-U operation</w:t>
      </w:r>
    </w:p>
    <w:p w14:paraId="3B7AECE6" w14:textId="77777777" w:rsidR="00E908BF" w:rsidRDefault="00E908BF" w:rsidP="00E908BF">
      <w:pPr>
        <w:pStyle w:val="bullet"/>
        <w:numPr>
          <w:ilvl w:val="0"/>
          <w:numId w:val="0"/>
        </w:numPr>
        <w:spacing w:before="120"/>
      </w:pPr>
      <w:r>
        <w:rPr>
          <w:highlight w:val="green"/>
        </w:rPr>
        <w:t>Agreement:</w:t>
      </w:r>
    </w:p>
    <w:p w14:paraId="75DF146F" w14:textId="77777777" w:rsidR="00E908BF" w:rsidRDefault="00E908BF" w:rsidP="00E908BF">
      <w:pPr>
        <w:pStyle w:val="bullet"/>
        <w:numPr>
          <w:ilvl w:val="0"/>
          <w:numId w:val="30"/>
        </w:numPr>
        <w:spacing w:before="120"/>
        <w:ind w:left="720"/>
      </w:pPr>
      <w:r>
        <w:t xml:space="preserve">Benefits of using a signal that facilitates its detection with low complexity can be investigated including all/part of the following scenarios/use cases: </w:t>
      </w:r>
    </w:p>
    <w:p w14:paraId="0A1FE136" w14:textId="77777777" w:rsidR="00E908BF" w:rsidRDefault="00E908BF" w:rsidP="00E908BF">
      <w:pPr>
        <w:pStyle w:val="bullet"/>
        <w:numPr>
          <w:ilvl w:val="1"/>
          <w:numId w:val="30"/>
        </w:numPr>
        <w:spacing w:before="120"/>
        <w:ind w:left="1440"/>
      </w:pPr>
      <w:r>
        <w:t>UE power saving</w:t>
      </w:r>
    </w:p>
    <w:p w14:paraId="040F83E7" w14:textId="77777777" w:rsidR="00E908BF" w:rsidRDefault="00E908BF" w:rsidP="00E908BF">
      <w:pPr>
        <w:pStyle w:val="bullet"/>
        <w:numPr>
          <w:ilvl w:val="1"/>
          <w:numId w:val="30"/>
        </w:numPr>
        <w:spacing w:before="120"/>
        <w:ind w:left="1440"/>
      </w:pPr>
      <w:r>
        <w:t>Improved coexistence</w:t>
      </w:r>
    </w:p>
    <w:p w14:paraId="6243D9A2" w14:textId="77777777" w:rsidR="00E908BF" w:rsidRDefault="00E908BF" w:rsidP="00E908BF">
      <w:pPr>
        <w:pStyle w:val="bullet"/>
        <w:numPr>
          <w:ilvl w:val="1"/>
          <w:numId w:val="30"/>
        </w:numPr>
        <w:spacing w:before="120"/>
        <w:ind w:left="1440"/>
      </w:pPr>
      <w:r>
        <w:t xml:space="preserve">Spatial reuse at least within the same operator network </w:t>
      </w:r>
    </w:p>
    <w:p w14:paraId="6000F5D7" w14:textId="77777777" w:rsidR="00E908BF" w:rsidRDefault="00E908BF" w:rsidP="00E908BF">
      <w:pPr>
        <w:pStyle w:val="bullet"/>
        <w:numPr>
          <w:ilvl w:val="1"/>
          <w:numId w:val="30"/>
        </w:numPr>
        <w:spacing w:before="120"/>
        <w:ind w:left="1440"/>
      </w:pPr>
      <w:r>
        <w:t>Serving cell transmission burst acquisition</w:t>
      </w:r>
    </w:p>
    <w:p w14:paraId="1FE418B7" w14:textId="77777777" w:rsidR="00E908BF" w:rsidRDefault="00E908BF" w:rsidP="00E908BF">
      <w:pPr>
        <w:pStyle w:val="bullet"/>
        <w:numPr>
          <w:ilvl w:val="1"/>
          <w:numId w:val="30"/>
        </w:numPr>
        <w:spacing w:before="120"/>
        <w:ind w:left="1440"/>
      </w:pPr>
      <w:r>
        <w:t>FFS: further usage scenarios</w:t>
      </w:r>
    </w:p>
    <w:p w14:paraId="29BA2ABF" w14:textId="77777777" w:rsidR="00E908BF" w:rsidRDefault="00E908BF" w:rsidP="00B2715F">
      <w:pPr>
        <w:rPr>
          <w:szCs w:val="20"/>
          <w:u w:val="single"/>
        </w:rPr>
      </w:pPr>
    </w:p>
    <w:p w14:paraId="077AAB5A" w14:textId="77777777" w:rsidR="00B2715F" w:rsidRPr="0040032E" w:rsidRDefault="00B2715F" w:rsidP="00B2715F">
      <w:pPr>
        <w:rPr>
          <w:szCs w:val="20"/>
          <w:u w:val="single"/>
        </w:rPr>
      </w:pPr>
      <w:r w:rsidRPr="0040032E">
        <w:rPr>
          <w:szCs w:val="20"/>
          <w:u w:val="single"/>
        </w:rPr>
        <w:t>RAN1#93 - 7.6.3.1</w:t>
      </w:r>
      <w:r w:rsidRPr="0040032E">
        <w:rPr>
          <w:szCs w:val="20"/>
          <w:u w:val="single"/>
        </w:rPr>
        <w:tab/>
        <w:t>DL Signals and Channels</w:t>
      </w:r>
    </w:p>
    <w:p w14:paraId="080C5D7C" w14:textId="77777777" w:rsidR="00B2715F" w:rsidRPr="0040032E" w:rsidRDefault="00B2715F" w:rsidP="00B2715F">
      <w:pPr>
        <w:rPr>
          <w:highlight w:val="cyan"/>
          <w:lang w:eastAsia="x-none"/>
        </w:rPr>
      </w:pPr>
      <w:r w:rsidRPr="0040032E">
        <w:rPr>
          <w:highlight w:val="green"/>
          <w:lang w:eastAsia="x-none"/>
        </w:rPr>
        <w:t>Agreement:</w:t>
      </w:r>
    </w:p>
    <w:p w14:paraId="5D6B23F4" w14:textId="77777777" w:rsidR="00B2715F" w:rsidRPr="0040032E" w:rsidRDefault="00B2715F" w:rsidP="00B2715F">
      <w:pPr>
        <w:widowControl/>
        <w:numPr>
          <w:ilvl w:val="0"/>
          <w:numId w:val="11"/>
        </w:numPr>
        <w:wordWrap/>
        <w:overflowPunct/>
        <w:autoSpaceDE/>
        <w:autoSpaceDN/>
        <w:adjustRightInd/>
        <w:spacing w:after="0"/>
        <w:jc w:val="left"/>
        <w:textAlignment w:val="auto"/>
        <w:rPr>
          <w:lang w:eastAsia="x-none"/>
        </w:rPr>
      </w:pPr>
      <w:r w:rsidRPr="0040032E">
        <w:rPr>
          <w:lang w:eastAsia="x-none"/>
        </w:rPr>
        <w:t>NR-U should have a signal that contains at least SS/PBCH block burst set transmission</w:t>
      </w:r>
    </w:p>
    <w:p w14:paraId="724F3389"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FFS: Other channels and signals transmitted together as part of the signal</w:t>
      </w:r>
    </w:p>
    <w:p w14:paraId="6378FE30" w14:textId="77777777" w:rsidR="00B2715F" w:rsidRPr="0040032E" w:rsidRDefault="00B2715F" w:rsidP="00B2715F">
      <w:pPr>
        <w:widowControl/>
        <w:numPr>
          <w:ilvl w:val="0"/>
          <w:numId w:val="11"/>
        </w:numPr>
        <w:wordWrap/>
        <w:overflowPunct/>
        <w:autoSpaceDE/>
        <w:autoSpaceDN/>
        <w:adjustRightInd/>
        <w:spacing w:after="0"/>
        <w:jc w:val="left"/>
        <w:textAlignment w:val="auto"/>
        <w:rPr>
          <w:lang w:eastAsia="x-none"/>
        </w:rPr>
      </w:pPr>
      <w:r w:rsidRPr="0040032E">
        <w:rPr>
          <w:lang w:eastAsia="x-none"/>
        </w:rPr>
        <w:t>The design of this signal should consider the following characteristics specific to unlicensed band operation</w:t>
      </w:r>
    </w:p>
    <w:p w14:paraId="33BC552D"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There are no gaps within the time span the signal is transmitted at least within a beam</w:t>
      </w:r>
    </w:p>
    <w:p w14:paraId="5B1C5BBD" w14:textId="77777777" w:rsidR="00B2715F" w:rsidRPr="0040032E" w:rsidRDefault="00B2715F" w:rsidP="00B2715F">
      <w:pPr>
        <w:widowControl/>
        <w:numPr>
          <w:ilvl w:val="2"/>
          <w:numId w:val="11"/>
        </w:numPr>
        <w:wordWrap/>
        <w:overflowPunct/>
        <w:autoSpaceDE/>
        <w:autoSpaceDN/>
        <w:adjustRightInd/>
        <w:spacing w:after="0"/>
        <w:jc w:val="left"/>
        <w:textAlignment w:val="auto"/>
        <w:rPr>
          <w:lang w:eastAsia="x-none"/>
        </w:rPr>
      </w:pPr>
      <w:r w:rsidRPr="0040032E">
        <w:rPr>
          <w:lang w:eastAsia="x-none"/>
        </w:rPr>
        <w:t>FFS: Whether any gaps are needed for beam switching and, if needed, their duration</w:t>
      </w:r>
    </w:p>
    <w:p w14:paraId="69F84AEF"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The occupied channel bandwidth is satisfied (although this may not be a requirement)</w:t>
      </w:r>
    </w:p>
    <w:p w14:paraId="755F9487" w14:textId="77777777" w:rsidR="00B2715F" w:rsidRPr="0040032E" w:rsidRDefault="00B2715F" w:rsidP="00B2715F">
      <w:pPr>
        <w:widowControl/>
        <w:numPr>
          <w:ilvl w:val="1"/>
          <w:numId w:val="11"/>
        </w:numPr>
        <w:wordWrap/>
        <w:overflowPunct/>
        <w:autoSpaceDE/>
        <w:autoSpaceDN/>
        <w:adjustRightInd/>
        <w:spacing w:after="0"/>
        <w:jc w:val="left"/>
        <w:textAlignment w:val="auto"/>
        <w:rPr>
          <w:lang w:eastAsia="x-none"/>
        </w:rPr>
      </w:pPr>
      <w:r w:rsidRPr="0040032E">
        <w:rPr>
          <w:lang w:eastAsia="x-none"/>
        </w:rPr>
        <w:t>Strive to minimize the channel occupancy time of the signal</w:t>
      </w:r>
    </w:p>
    <w:p w14:paraId="6ED1F9D9" w14:textId="77777777" w:rsidR="00B2715F" w:rsidRPr="0040032E" w:rsidRDefault="00B2715F" w:rsidP="00B2715F">
      <w:pPr>
        <w:widowControl/>
        <w:numPr>
          <w:ilvl w:val="1"/>
          <w:numId w:val="11"/>
        </w:numPr>
        <w:wordWrap/>
        <w:overflowPunct/>
        <w:autoSpaceDE/>
        <w:autoSpaceDN/>
        <w:adjustRightInd/>
        <w:spacing w:after="0"/>
        <w:jc w:val="left"/>
        <w:textAlignment w:val="auto"/>
      </w:pPr>
      <w:r w:rsidRPr="0040032E">
        <w:rPr>
          <w:lang w:eastAsia="x-none"/>
        </w:rPr>
        <w:t>Characteristics that may facilitate fast channel access</w:t>
      </w:r>
    </w:p>
    <w:p w14:paraId="086AEEF3" w14:textId="77777777" w:rsidR="00B2715F" w:rsidRPr="0040032E" w:rsidRDefault="00B2715F" w:rsidP="00B2715F">
      <w:pPr>
        <w:rPr>
          <w:szCs w:val="20"/>
        </w:rPr>
      </w:pPr>
    </w:p>
    <w:p w14:paraId="095D9029" w14:textId="000AF770" w:rsidR="00B2715F" w:rsidRPr="0040032E" w:rsidRDefault="00B2715F" w:rsidP="00B2715F">
      <w:pPr>
        <w:rPr>
          <w:szCs w:val="20"/>
          <w:u w:val="single"/>
        </w:rPr>
      </w:pPr>
      <w:r>
        <w:rPr>
          <w:szCs w:val="20"/>
          <w:u w:val="single"/>
        </w:rPr>
        <w:t xml:space="preserve">RAN1#94 - 7.2.2.3.1 </w:t>
      </w:r>
      <w:r w:rsidRPr="0040032E">
        <w:rPr>
          <w:szCs w:val="20"/>
          <w:u w:val="single"/>
        </w:rPr>
        <w:t>DL Signals and Channels</w:t>
      </w:r>
    </w:p>
    <w:p w14:paraId="65702AFE" w14:textId="77777777" w:rsidR="00B2715F" w:rsidRPr="0040032E" w:rsidRDefault="00B2715F" w:rsidP="00B2715F">
      <w:pPr>
        <w:rPr>
          <w:lang w:eastAsia="x-none"/>
        </w:rPr>
      </w:pPr>
      <w:r w:rsidRPr="0040032E">
        <w:rPr>
          <w:highlight w:val="green"/>
          <w:lang w:eastAsia="x-none"/>
        </w:rPr>
        <w:t>Agreement:</w:t>
      </w:r>
      <w:r w:rsidRPr="0040032E">
        <w:rPr>
          <w:lang w:eastAsia="x-none"/>
        </w:rPr>
        <w:t xml:space="preserve"> </w:t>
      </w:r>
    </w:p>
    <w:p w14:paraId="1B2E31A9" w14:textId="77777777" w:rsidR="00B2715F" w:rsidRPr="0040032E" w:rsidRDefault="00B2715F" w:rsidP="00B2715F">
      <w:pPr>
        <w:widowControl/>
        <w:numPr>
          <w:ilvl w:val="0"/>
          <w:numId w:val="25"/>
        </w:numPr>
        <w:wordWrap/>
        <w:overflowPunct/>
        <w:autoSpaceDE/>
        <w:autoSpaceDN/>
        <w:adjustRightInd/>
        <w:spacing w:after="0"/>
        <w:jc w:val="left"/>
        <w:textAlignment w:val="auto"/>
        <w:rPr>
          <w:lang w:eastAsia="x-none"/>
        </w:rPr>
      </w:pPr>
      <w:r w:rsidRPr="0040032E">
        <w:rPr>
          <w:lang w:eastAsia="x-none"/>
        </w:rPr>
        <w:t>Inclusion of the CSI-RS and RMSI-CORESET(s)+PDSCH(s) (carrying RMSI) associated with SS/PBCH block(s) in addition to the SS/PBCH burst set in one contiguous burst (tentatively referred to as the NR-U DRS) can be beneficial for</w:t>
      </w:r>
    </w:p>
    <w:p w14:paraId="5633DCA3"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Meeting OCB requirement</w:t>
      </w:r>
    </w:p>
    <w:p w14:paraId="1EA4348E"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Compacting signals in time domain to limit the required number of channel access and for short channel occupancy</w:t>
      </w:r>
    </w:p>
    <w:p w14:paraId="1C80EF2C"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Support of stand-alone NR-U deployments</w:t>
      </w:r>
    </w:p>
    <w:p w14:paraId="19643EAF"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 xml:space="preserve">Support of automatic neighbour relations (ANR) functionality in an NR-U deployment </w:t>
      </w:r>
    </w:p>
    <w:p w14:paraId="35C56EEE"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Resolution of PCI confusion in an NR-U deployment</w:t>
      </w:r>
    </w:p>
    <w:p w14:paraId="723D7281" w14:textId="77777777" w:rsidR="00B2715F" w:rsidRPr="0040032E" w:rsidRDefault="00B2715F" w:rsidP="00B2715F">
      <w:pPr>
        <w:widowControl/>
        <w:numPr>
          <w:ilvl w:val="0"/>
          <w:numId w:val="24"/>
        </w:numPr>
        <w:wordWrap/>
        <w:overflowPunct/>
        <w:autoSpaceDE/>
        <w:autoSpaceDN/>
        <w:adjustRightInd/>
        <w:spacing w:after="0"/>
        <w:ind w:left="1080"/>
        <w:jc w:val="left"/>
        <w:textAlignment w:val="auto"/>
        <w:rPr>
          <w:lang w:eastAsia="x-none"/>
        </w:rPr>
      </w:pPr>
      <w:r w:rsidRPr="0040032E">
        <w:rPr>
          <w:lang w:eastAsia="x-none"/>
        </w:rPr>
        <w:t>Note: The NR-U DRS (it can be called something else in the future) can include signals and channels that are required for cell acquisition etc. and is not limited only to reference signals</w:t>
      </w:r>
    </w:p>
    <w:p w14:paraId="3A5EBB18" w14:textId="77777777" w:rsidR="00B2715F" w:rsidRDefault="00B2715F" w:rsidP="00B2715F">
      <w:pPr>
        <w:widowControl/>
        <w:numPr>
          <w:ilvl w:val="0"/>
          <w:numId w:val="24"/>
        </w:numPr>
        <w:wordWrap/>
        <w:overflowPunct/>
        <w:autoSpaceDE/>
        <w:autoSpaceDN/>
        <w:adjustRightInd/>
        <w:spacing w:after="0"/>
        <w:jc w:val="left"/>
        <w:textAlignment w:val="auto"/>
        <w:rPr>
          <w:lang w:eastAsia="x-none"/>
        </w:rPr>
      </w:pPr>
      <w:r w:rsidRPr="0040032E">
        <w:rPr>
          <w:lang w:eastAsia="x-none"/>
        </w:rPr>
        <w:t>The transmission of additional signals such as OSI and paging within the NR-U DRS is allowed and can be beneficial</w:t>
      </w:r>
    </w:p>
    <w:p w14:paraId="312C8F5E" w14:textId="77777777" w:rsidR="00B2715F" w:rsidRDefault="00B2715F" w:rsidP="00B2715F">
      <w:pPr>
        <w:widowControl/>
        <w:wordWrap/>
        <w:overflowPunct/>
        <w:autoSpaceDE/>
        <w:autoSpaceDN/>
        <w:adjustRightInd/>
        <w:spacing w:after="0"/>
        <w:jc w:val="left"/>
        <w:textAlignment w:val="auto"/>
        <w:rPr>
          <w:lang w:eastAsia="x-none"/>
        </w:rPr>
      </w:pPr>
    </w:p>
    <w:p w14:paraId="6773A86C" w14:textId="0F64BA46" w:rsidR="00F8393A" w:rsidRDefault="00F8393A" w:rsidP="00B2715F">
      <w:pPr>
        <w:widowControl/>
        <w:wordWrap/>
        <w:overflowPunct/>
        <w:autoSpaceDE/>
        <w:autoSpaceDN/>
        <w:adjustRightInd/>
        <w:spacing w:after="0"/>
        <w:jc w:val="left"/>
        <w:textAlignment w:val="auto"/>
        <w:rPr>
          <w:szCs w:val="20"/>
          <w:u w:val="single"/>
        </w:rPr>
      </w:pPr>
      <w:r>
        <w:rPr>
          <w:szCs w:val="20"/>
          <w:u w:val="single"/>
        </w:rPr>
        <w:t>RAN1#94bis – 7.2.2.2 Frame structure for NR-U operation</w:t>
      </w:r>
    </w:p>
    <w:p w14:paraId="2795D1FC" w14:textId="1CB560EB" w:rsidR="00F8393A" w:rsidRDefault="00F8393A" w:rsidP="00F8393A">
      <w:pPr>
        <w:rPr>
          <w:snapToGrid/>
          <w:kern w:val="0"/>
          <w:szCs w:val="24"/>
          <w:lang w:eastAsia="x-none"/>
        </w:rPr>
      </w:pPr>
      <w:r>
        <w:rPr>
          <w:highlight w:val="green"/>
          <w:lang w:eastAsia="x-none"/>
        </w:rPr>
        <w:t>Agreements:</w:t>
      </w:r>
    </w:p>
    <w:p w14:paraId="39A57CE6" w14:textId="77777777" w:rsidR="00F8393A" w:rsidRDefault="00F8393A" w:rsidP="00F8393A">
      <w:pPr>
        <w:pStyle w:val="ListParagraph"/>
        <w:numPr>
          <w:ilvl w:val="0"/>
          <w:numId w:val="25"/>
        </w:numPr>
        <w:rPr>
          <w:lang w:eastAsia="x-none"/>
        </w:rPr>
      </w:pPr>
      <w:r>
        <w:rPr>
          <w:lang w:eastAsia="x-none"/>
        </w:rPr>
        <w:t xml:space="preserve">It has been identified to be beneficial for the NR-U design to not require the gNB to change a pre-determined TBS for a PDSCH transmission depending on the LBT outcome, at least when the PDSCH is transmitted at the beginning of the </w:t>
      </w:r>
      <w:proofErr w:type="spellStart"/>
      <w:r>
        <w:rPr>
          <w:lang w:eastAsia="x-none"/>
        </w:rPr>
        <w:t>gNB’s</w:t>
      </w:r>
      <w:proofErr w:type="spellEnd"/>
      <w:r>
        <w:rPr>
          <w:lang w:eastAsia="x-none"/>
        </w:rPr>
        <w:t xml:space="preserve"> COT.</w:t>
      </w:r>
    </w:p>
    <w:p w14:paraId="79E1A4A2" w14:textId="77777777" w:rsidR="00F8393A" w:rsidRPr="00F8393A" w:rsidRDefault="00F8393A" w:rsidP="00F8393A">
      <w:pPr>
        <w:pStyle w:val="ListParagraph"/>
        <w:numPr>
          <w:ilvl w:val="0"/>
          <w:numId w:val="25"/>
        </w:numPr>
        <w:rPr>
          <w:snapToGrid/>
          <w:szCs w:val="24"/>
          <w:lang w:eastAsia="x-none"/>
        </w:rPr>
      </w:pPr>
      <w:r>
        <w:rPr>
          <w:lang w:eastAsia="x-none"/>
        </w:rPr>
        <w:t>The following options have been identified as possible candidates for PDSCH transmission in the partial slot at least for the first PDSCH(s) transmitted in the DL transmission burst.</w:t>
      </w:r>
    </w:p>
    <w:p w14:paraId="6075E38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1: PDSCH(s) as in Rel-15 NR</w:t>
      </w:r>
    </w:p>
    <w:p w14:paraId="25A64B2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2: Punctured PDSCH depending on LBT outcome</w:t>
      </w:r>
    </w:p>
    <w:p w14:paraId="779D9E82"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3: PDSCH mapping type B with durations other than 2/4/7 symbols</w:t>
      </w:r>
    </w:p>
    <w:p w14:paraId="74D6D9C9"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Option 4: PDSCH across slot boundary</w:t>
      </w:r>
    </w:p>
    <w:p w14:paraId="716DD7E5" w14:textId="77777777"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FFS for signalling details, specification impact, implementation complexity</w:t>
      </w:r>
    </w:p>
    <w:p w14:paraId="2F12E985" w14:textId="5D0D012F" w:rsidR="00F8393A" w:rsidRDefault="00F8393A" w:rsidP="00F8393A">
      <w:pPr>
        <w:widowControl/>
        <w:numPr>
          <w:ilvl w:val="1"/>
          <w:numId w:val="25"/>
        </w:numPr>
        <w:wordWrap/>
        <w:overflowPunct/>
        <w:autoSpaceDE/>
        <w:autoSpaceDN/>
        <w:adjustRightInd/>
        <w:spacing w:after="0"/>
        <w:jc w:val="left"/>
        <w:textAlignment w:val="auto"/>
        <w:rPr>
          <w:lang w:eastAsia="x-none"/>
        </w:rPr>
      </w:pPr>
      <w:r>
        <w:rPr>
          <w:lang w:eastAsia="x-none"/>
        </w:rPr>
        <w:t>Note: Above options are not mutually exclusive.</w:t>
      </w:r>
    </w:p>
    <w:p w14:paraId="723C6C92" w14:textId="72EE2241" w:rsidR="00F8393A" w:rsidRPr="00F8393A" w:rsidRDefault="00F8393A" w:rsidP="00F8393A">
      <w:pPr>
        <w:pStyle w:val="ListParagraph"/>
        <w:numPr>
          <w:ilvl w:val="0"/>
          <w:numId w:val="25"/>
        </w:numPr>
        <w:rPr>
          <w:snapToGrid/>
          <w:szCs w:val="24"/>
          <w:lang w:eastAsia="x-none"/>
        </w:rPr>
      </w:pPr>
      <w:r>
        <w:rPr>
          <w:lang w:eastAsia="x-none"/>
        </w:rPr>
        <w:t>In addition to the functionalities provided by DCI format 2_0 in Rel-15 NR, indication of the COT structure in the time domain has been identified as being beneficial.</w:t>
      </w:r>
    </w:p>
    <w:p w14:paraId="0E87EB90" w14:textId="5D0D012F" w:rsidR="00F8393A" w:rsidRPr="00F8393A" w:rsidRDefault="00F8393A" w:rsidP="00B2715F">
      <w:pPr>
        <w:widowControl/>
        <w:wordWrap/>
        <w:overflowPunct/>
        <w:autoSpaceDE/>
        <w:autoSpaceDN/>
        <w:adjustRightInd/>
        <w:spacing w:after="0"/>
        <w:jc w:val="left"/>
        <w:textAlignment w:val="auto"/>
        <w:rPr>
          <w:szCs w:val="20"/>
        </w:rPr>
      </w:pPr>
    </w:p>
    <w:p w14:paraId="3FC34028" w14:textId="5F9C1768" w:rsidR="00B2715F" w:rsidRDefault="00B2715F" w:rsidP="00B2715F">
      <w:pPr>
        <w:widowControl/>
        <w:wordWrap/>
        <w:overflowPunct/>
        <w:autoSpaceDE/>
        <w:autoSpaceDN/>
        <w:adjustRightInd/>
        <w:spacing w:after="0"/>
        <w:jc w:val="left"/>
        <w:textAlignment w:val="auto"/>
        <w:rPr>
          <w:lang w:eastAsia="x-none"/>
        </w:rPr>
      </w:pPr>
      <w:r>
        <w:rPr>
          <w:szCs w:val="20"/>
          <w:u w:val="single"/>
        </w:rPr>
        <w:lastRenderedPageBreak/>
        <w:t xml:space="preserve">RAN1#95 - 7.2.2.3.1 </w:t>
      </w:r>
      <w:r w:rsidRPr="0040032E">
        <w:rPr>
          <w:szCs w:val="20"/>
          <w:u w:val="single"/>
        </w:rPr>
        <w:t>DL Signals and Channels</w:t>
      </w:r>
    </w:p>
    <w:p w14:paraId="0F8F86FE" w14:textId="3D7395CA" w:rsidR="00B2715F" w:rsidRDefault="00B2715F" w:rsidP="00B2715F">
      <w:pPr>
        <w:rPr>
          <w:snapToGrid/>
          <w:kern w:val="0"/>
          <w:szCs w:val="24"/>
          <w:lang w:eastAsia="en-US"/>
        </w:rPr>
      </w:pPr>
      <w:r>
        <w:rPr>
          <w:highlight w:val="green"/>
        </w:rPr>
        <w:t>Agreement</w:t>
      </w:r>
      <w:r w:rsidR="00437312">
        <w:rPr>
          <w:highlight w:val="green"/>
        </w:rPr>
        <w:t>s</w:t>
      </w:r>
      <w:r>
        <w:rPr>
          <w:highlight w:val="green"/>
        </w:rPr>
        <w:t>:</w:t>
      </w:r>
    </w:p>
    <w:p w14:paraId="103A6A09" w14:textId="77777777" w:rsidR="00B2715F" w:rsidRDefault="00B2715F" w:rsidP="00B2715F">
      <w:pPr>
        <w:widowControl/>
        <w:numPr>
          <w:ilvl w:val="0"/>
          <w:numId w:val="26"/>
        </w:numPr>
        <w:wordWrap/>
        <w:overflowPunct/>
        <w:autoSpaceDE/>
        <w:autoSpaceDN/>
        <w:adjustRightInd/>
        <w:spacing w:after="0"/>
        <w:jc w:val="left"/>
        <w:textAlignment w:val="auto"/>
      </w:pPr>
      <w:r>
        <w:t>Support of Pattern 1 is recommended for multiplexing of SS/PBCH block(s) and CORESET(s)#0 in NR-U.</w:t>
      </w:r>
    </w:p>
    <w:p w14:paraId="2C0291BE" w14:textId="77777777" w:rsidR="00B2715F" w:rsidRDefault="00B2715F" w:rsidP="00B2715F">
      <w:pPr>
        <w:widowControl/>
        <w:numPr>
          <w:ilvl w:val="0"/>
          <w:numId w:val="27"/>
        </w:numPr>
        <w:wordWrap/>
        <w:overflowPunct/>
        <w:snapToGrid w:val="0"/>
        <w:spacing w:after="120"/>
        <w:jc w:val="left"/>
        <w:textAlignment w:val="auto"/>
      </w:pPr>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799E01E2" w14:textId="77777777" w:rsidR="00B2715F" w:rsidRDefault="00B2715F" w:rsidP="00B2715F">
      <w:pPr>
        <w:ind w:left="720"/>
      </w:pPr>
      <w:r>
        <w:t xml:space="preserve">Note: Pattern 1 is understood as CORESET#0 and SS/PBCH block(s) occur in different time instances, and CORESET#0 bandwidth overlaps with the transmission bandwidth of the SS/PBCH block. </w:t>
      </w:r>
    </w:p>
    <w:p w14:paraId="3DBB2F77" w14:textId="77777777" w:rsidR="00B2715F" w:rsidRDefault="00B2715F" w:rsidP="00B2715F">
      <w:pPr>
        <w:widowControl/>
        <w:numPr>
          <w:ilvl w:val="0"/>
          <w:numId w:val="26"/>
        </w:numPr>
        <w:wordWrap/>
        <w:overflowPunct/>
        <w:autoSpaceDE/>
        <w:autoSpaceDN/>
        <w:adjustRightInd/>
        <w:spacing w:after="0"/>
        <w:jc w:val="left"/>
        <w:textAlignment w:val="auto"/>
      </w:pPr>
      <w:r>
        <w:t>Adopt the following text proposal to reflect the above</w:t>
      </w:r>
    </w:p>
    <w:p w14:paraId="5118C584" w14:textId="77777777" w:rsidR="00B2715F" w:rsidRDefault="00B2715F" w:rsidP="00B2715F">
      <w:pPr>
        <w:widowControl/>
        <w:numPr>
          <w:ilvl w:val="1"/>
          <w:numId w:val="26"/>
        </w:numPr>
        <w:wordWrap/>
        <w:overflowPunct/>
        <w:autoSpaceDE/>
        <w:autoSpaceDN/>
        <w:adjustRightInd/>
        <w:spacing w:after="0"/>
        <w:jc w:val="left"/>
        <w:textAlignment w:val="auto"/>
      </w:pPr>
      <w: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20B099A0" w14:textId="77777777" w:rsidR="00437312" w:rsidRDefault="00B2715F" w:rsidP="00437312">
      <w:pPr>
        <w:ind w:left="1440"/>
      </w:pPr>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025C2B5D" w14:textId="77777777" w:rsidR="00437312" w:rsidRDefault="00B2715F" w:rsidP="00437312">
      <w:pPr>
        <w:pStyle w:val="ListParagraph"/>
        <w:numPr>
          <w:ilvl w:val="0"/>
          <w:numId w:val="26"/>
        </w:numPr>
      </w:pPr>
      <w:r>
        <w:t xml:space="preserve">The detection of a </w:t>
      </w:r>
      <w:proofErr w:type="spellStart"/>
      <w:r>
        <w:t>gNB’s</w:t>
      </w:r>
      <w:proofErr w:type="spellEnd"/>
      <w: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w:t>
      </w:r>
      <w:r>
        <w:rPr>
          <w:lang w:eastAsia="zh-CN"/>
        </w:rPr>
        <w:t xml:space="preserve">such as PDCCH with potential enhancement(s), and the 802.11a/802.11ax preamble with potential enhancement(s); </w:t>
      </w:r>
      <w:r>
        <w:t>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32554091" w14:textId="24F85226" w:rsidR="00B2715F" w:rsidRPr="0040032E" w:rsidRDefault="00B2715F" w:rsidP="00437312">
      <w:pPr>
        <w:pStyle w:val="ListParagraph"/>
        <w:numPr>
          <w:ilvl w:val="0"/>
          <w:numId w:val="26"/>
        </w:numPr>
      </w:pPr>
      <w:r>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Pr>
          <w:lang w:eastAsia="x-none"/>
        </w:rPr>
        <w:t>gNB’s</w:t>
      </w:r>
      <w:proofErr w:type="spellEnd"/>
      <w:r>
        <w:rPr>
          <w:lang w:eastAsia="x-none"/>
        </w:rPr>
        <w:t xml:space="preserve"> COT, or explicitly signalled by the gNB.</w:t>
      </w:r>
    </w:p>
    <w:p w14:paraId="14806582" w14:textId="74C22FAA" w:rsidR="00455E2A" w:rsidRDefault="00455E2A" w:rsidP="004F0B22">
      <w:pPr>
        <w:pStyle w:val="Heading1"/>
        <w:numPr>
          <w:ilvl w:val="0"/>
          <w:numId w:val="41"/>
        </w:numPr>
      </w:pPr>
      <w:r>
        <w:t>Initial Signal</w:t>
      </w:r>
    </w:p>
    <w:p w14:paraId="1DB30183" w14:textId="76228468" w:rsidR="00455E2A" w:rsidRDefault="00455E2A" w:rsidP="00455E2A">
      <w:pPr>
        <w:rPr>
          <w:lang w:eastAsia="en-US"/>
        </w:rPr>
      </w:pPr>
      <w:r>
        <w:t xml:space="preserve">In RAN1#93 the following was agreed with respect to the initial </w:t>
      </w:r>
      <w:r w:rsidR="00F8393A">
        <w:t>signal</w:t>
      </w:r>
      <w:r>
        <w:t xml:space="preserve"> in NR-U:</w:t>
      </w:r>
    </w:p>
    <w:p w14:paraId="774DD069" w14:textId="77777777" w:rsidR="00455E2A" w:rsidRDefault="00455E2A" w:rsidP="00527B28">
      <w:pPr>
        <w:pStyle w:val="bullet"/>
        <w:numPr>
          <w:ilvl w:val="0"/>
          <w:numId w:val="15"/>
        </w:numPr>
        <w:ind w:left="720"/>
      </w:pPr>
      <w:r>
        <w:t xml:space="preserve">Benefits of using a signal that facilitates its detection with low complexity can be investigated including all/part of the following scenarios/use cases: </w:t>
      </w:r>
    </w:p>
    <w:p w14:paraId="7F413378" w14:textId="77777777" w:rsidR="00455E2A" w:rsidRDefault="00455E2A" w:rsidP="00527B28">
      <w:pPr>
        <w:pStyle w:val="bullet"/>
        <w:numPr>
          <w:ilvl w:val="1"/>
          <w:numId w:val="15"/>
        </w:numPr>
        <w:ind w:firstLine="400"/>
      </w:pPr>
      <w:r>
        <w:t>UE power saving</w:t>
      </w:r>
    </w:p>
    <w:p w14:paraId="03606F05" w14:textId="77777777" w:rsidR="00455E2A" w:rsidRDefault="00455E2A" w:rsidP="00527B28">
      <w:pPr>
        <w:pStyle w:val="bullet"/>
        <w:numPr>
          <w:ilvl w:val="1"/>
          <w:numId w:val="15"/>
        </w:numPr>
        <w:ind w:firstLine="400"/>
      </w:pPr>
      <w:r>
        <w:t>Improved coexistence</w:t>
      </w:r>
    </w:p>
    <w:p w14:paraId="258FC000" w14:textId="77777777" w:rsidR="00455E2A" w:rsidRDefault="00455E2A" w:rsidP="00527B28">
      <w:pPr>
        <w:pStyle w:val="bullet"/>
        <w:numPr>
          <w:ilvl w:val="1"/>
          <w:numId w:val="15"/>
        </w:numPr>
        <w:ind w:firstLine="400"/>
      </w:pPr>
      <w:r>
        <w:t xml:space="preserve">Spatial reuse at least within the same operator network </w:t>
      </w:r>
    </w:p>
    <w:p w14:paraId="16C587C9" w14:textId="77777777" w:rsidR="00455E2A" w:rsidRDefault="00455E2A" w:rsidP="00527B28">
      <w:pPr>
        <w:pStyle w:val="bullet"/>
        <w:numPr>
          <w:ilvl w:val="1"/>
          <w:numId w:val="15"/>
        </w:numPr>
        <w:ind w:firstLine="400"/>
      </w:pPr>
      <w:r>
        <w:t>Serving cell transmission burst acquisition</w:t>
      </w:r>
    </w:p>
    <w:p w14:paraId="32F6DDF2" w14:textId="77777777" w:rsidR="00455E2A" w:rsidRDefault="00455E2A" w:rsidP="00527B28">
      <w:pPr>
        <w:pStyle w:val="bullet"/>
        <w:numPr>
          <w:ilvl w:val="1"/>
          <w:numId w:val="15"/>
        </w:numPr>
        <w:ind w:firstLine="400"/>
      </w:pPr>
      <w:r>
        <w:t>FFS: further usage scenarios</w:t>
      </w:r>
    </w:p>
    <w:p w14:paraId="19D3BA04" w14:textId="2870E43A" w:rsidR="005936B0" w:rsidRDefault="00126E7B" w:rsidP="004F0B22">
      <w:r>
        <w:t>I</w:t>
      </w:r>
      <w:r w:rsidR="005936B0" w:rsidRPr="005936B0">
        <w:t xml:space="preserve">t is beneficial for gNB to transmit an initial signal before </w:t>
      </w:r>
      <w:r w:rsidR="005936B0">
        <w:t>DL transmission</w:t>
      </w:r>
      <w:r w:rsidR="005936B0" w:rsidRPr="005936B0">
        <w:t>, to facilitate the UE to</w:t>
      </w:r>
      <w:r w:rsidR="005936B0">
        <w:t xml:space="preserve"> detect the </w:t>
      </w:r>
      <w:r w:rsidR="00026AB8">
        <w:t>COT</w:t>
      </w:r>
      <w:r w:rsidR="005936B0">
        <w:t xml:space="preserve"> start. Following are some desirable properties of the initial signal:</w:t>
      </w:r>
    </w:p>
    <w:p w14:paraId="1462D24D" w14:textId="6364E611" w:rsidR="005E51EE" w:rsidRPr="005E51EE" w:rsidRDefault="00604344" w:rsidP="005E51EE">
      <w:pPr>
        <w:pStyle w:val="ListParagraph"/>
        <w:numPr>
          <w:ilvl w:val="0"/>
          <w:numId w:val="31"/>
        </w:numPr>
      </w:pPr>
      <w:r>
        <w:t xml:space="preserve">Robust detection </w:t>
      </w:r>
      <w:r w:rsidR="005E51EE" w:rsidRPr="005E51EE">
        <w:t>at low geometry</w:t>
      </w:r>
    </w:p>
    <w:p w14:paraId="2E2A8A39" w14:textId="3413622C" w:rsidR="005E51EE" w:rsidRPr="005E51EE" w:rsidRDefault="00604344" w:rsidP="005E51EE">
      <w:pPr>
        <w:pStyle w:val="ListParagraph"/>
        <w:numPr>
          <w:ilvl w:val="0"/>
          <w:numId w:val="31"/>
        </w:numPr>
      </w:pPr>
      <w:r>
        <w:t xml:space="preserve">Opportunistic </w:t>
      </w:r>
      <w:r w:rsidR="005E51EE" w:rsidRPr="005E51EE">
        <w:t xml:space="preserve">retransmission within COT, so the UE can pick it up in later part of </w:t>
      </w:r>
      <w:r w:rsidR="00126E7B">
        <w:t xml:space="preserve">the </w:t>
      </w:r>
      <w:r w:rsidR="005E51EE" w:rsidRPr="005E51EE">
        <w:t xml:space="preserve">COT if </w:t>
      </w:r>
      <w:r w:rsidR="008F48B4">
        <w:t xml:space="preserve">it </w:t>
      </w:r>
      <w:r w:rsidR="005E51EE" w:rsidRPr="005E51EE">
        <w:t xml:space="preserve">failed to detect the initial signal at the </w:t>
      </w:r>
      <w:r>
        <w:t xml:space="preserve">start of </w:t>
      </w:r>
      <w:r w:rsidR="00126E7B">
        <w:t xml:space="preserve">the </w:t>
      </w:r>
      <w:r>
        <w:t>COT</w:t>
      </w:r>
    </w:p>
    <w:p w14:paraId="310573AA" w14:textId="12ADFBF5" w:rsidR="005E51EE" w:rsidRDefault="00552509" w:rsidP="005E51EE">
      <w:pPr>
        <w:pStyle w:val="ListParagraph"/>
        <w:numPr>
          <w:ilvl w:val="0"/>
          <w:numId w:val="31"/>
        </w:numPr>
      </w:pPr>
      <w:r>
        <w:t>Low power and complexity of detection</w:t>
      </w:r>
    </w:p>
    <w:p w14:paraId="1732C0B7" w14:textId="5BA14F8E" w:rsidR="005E51EE" w:rsidRPr="005E51EE" w:rsidRDefault="005E51EE" w:rsidP="005E51EE">
      <w:pPr>
        <w:pStyle w:val="ListParagraph"/>
        <w:numPr>
          <w:ilvl w:val="0"/>
          <w:numId w:val="31"/>
        </w:numPr>
      </w:pPr>
      <w:r>
        <w:t>Low false alarm probability</w:t>
      </w:r>
    </w:p>
    <w:p w14:paraId="3E3EB236" w14:textId="049A5689" w:rsidR="002809FE" w:rsidRDefault="00552509" w:rsidP="005E51EE">
      <w:r>
        <w:t>Following options have been considered for the initial signal:</w:t>
      </w:r>
    </w:p>
    <w:p w14:paraId="44AB20DC" w14:textId="296B9DD3" w:rsidR="00254E8A" w:rsidRPr="005E51EE" w:rsidRDefault="00254E8A" w:rsidP="005E51EE">
      <w:pPr>
        <w:pStyle w:val="ListParagraph"/>
        <w:numPr>
          <w:ilvl w:val="0"/>
          <w:numId w:val="33"/>
        </w:numPr>
        <w:rPr>
          <w:lang w:val="en-US"/>
        </w:rPr>
      </w:pPr>
      <w:r w:rsidRPr="005E51EE">
        <w:rPr>
          <w:lang w:val="en-US"/>
        </w:rPr>
        <w:t>NR signals with enhancements: DMRS for PDCCH, PSS/SSS type waveform</w:t>
      </w:r>
      <w:r w:rsidR="00552509">
        <w:rPr>
          <w:lang w:val="en-US"/>
        </w:rPr>
        <w:t xml:space="preserve"> or</w:t>
      </w:r>
      <w:r w:rsidRPr="005E51EE">
        <w:rPr>
          <w:lang w:val="en-US"/>
        </w:rPr>
        <w:t xml:space="preserve"> CSI-RS</w:t>
      </w:r>
    </w:p>
    <w:p w14:paraId="7418725C" w14:textId="77777777" w:rsidR="00254E8A" w:rsidRPr="005E51EE" w:rsidRDefault="00254E8A" w:rsidP="005E51EE">
      <w:pPr>
        <w:pStyle w:val="ListParagraph"/>
        <w:numPr>
          <w:ilvl w:val="0"/>
          <w:numId w:val="33"/>
        </w:numPr>
        <w:rPr>
          <w:lang w:val="en-US"/>
        </w:rPr>
      </w:pPr>
      <w:r w:rsidRPr="005E51EE">
        <w:rPr>
          <w:lang w:val="en-US"/>
        </w:rPr>
        <w:t>NR channels with enhancements: GC-PDCCH</w:t>
      </w:r>
    </w:p>
    <w:p w14:paraId="330F8A23" w14:textId="68E8167A" w:rsidR="005E51EE" w:rsidRDefault="005E51EE" w:rsidP="004C2E5D">
      <w:pPr>
        <w:pStyle w:val="ListParagraph"/>
        <w:numPr>
          <w:ilvl w:val="0"/>
          <w:numId w:val="33"/>
        </w:numPr>
      </w:pPr>
      <w:r w:rsidRPr="005E51EE">
        <w:rPr>
          <w:lang w:val="en-US"/>
        </w:rPr>
        <w:t>11a/11ax preamble with enhancements</w:t>
      </w:r>
    </w:p>
    <w:p w14:paraId="02999D4E" w14:textId="33500BF8" w:rsidR="005E51EE" w:rsidRDefault="005E51EE" w:rsidP="005E51EE">
      <w:r w:rsidRPr="005E51EE">
        <w:t xml:space="preserve">PSS/SSS like </w:t>
      </w:r>
      <w:proofErr w:type="gramStart"/>
      <w:r w:rsidRPr="005E51EE">
        <w:t>sequence based</w:t>
      </w:r>
      <w:proofErr w:type="gramEnd"/>
      <w:r w:rsidRPr="005E51EE">
        <w:t xml:space="preserve"> design has </w:t>
      </w:r>
      <w:r w:rsidR="008F48B4">
        <w:t xml:space="preserve">the </w:t>
      </w:r>
      <w:r w:rsidRPr="005E51EE">
        <w:t xml:space="preserve">benefit </w:t>
      </w:r>
      <w:r>
        <w:t xml:space="preserve">that it </w:t>
      </w:r>
      <w:r w:rsidRPr="005E51EE">
        <w:t>can support async</w:t>
      </w:r>
      <w:r>
        <w:t>hronous detection, but</w:t>
      </w:r>
      <w:r w:rsidRPr="005E51EE">
        <w:t xml:space="preserve"> has other issues</w:t>
      </w:r>
      <w:r w:rsidR="00026AB8">
        <w:t>.</w:t>
      </w:r>
      <w:r w:rsidRPr="005E51EE">
        <w:t xml:space="preserve"> </w:t>
      </w:r>
      <w:r w:rsidR="00026AB8">
        <w:lastRenderedPageBreak/>
        <w:t>For example,</w:t>
      </w:r>
      <w:r w:rsidRPr="005E51EE">
        <w:t xml:space="preserve"> the bandwidth may be limited due to searcher complexity and transmit power </w:t>
      </w:r>
      <w:r w:rsidR="00026AB8">
        <w:t>may</w:t>
      </w:r>
      <w:r w:rsidRPr="005E51EE">
        <w:t xml:space="preserve"> be limited due to PSD limitation</w:t>
      </w:r>
      <w:r>
        <w:t xml:space="preserve">. The </w:t>
      </w:r>
      <w:r w:rsidR="00026AB8">
        <w:t>Wi-Fi 802.</w:t>
      </w:r>
      <w:r>
        <w:t>11a preamble detection is not very robust</w:t>
      </w:r>
      <w:r w:rsidR="00126E7B">
        <w:t xml:space="preserve"> for the low SNR range that is of interest for NR-U</w:t>
      </w:r>
      <w:r>
        <w:t xml:space="preserve"> </w:t>
      </w:r>
      <w:proofErr w:type="gramStart"/>
      <w:r>
        <w:t>and also</w:t>
      </w:r>
      <w:proofErr w:type="gramEnd"/>
      <w:r>
        <w:t xml:space="preserve"> leads to false alarms in congested deployments. There is also </w:t>
      </w:r>
      <w:r w:rsidR="00026AB8">
        <w:t>a robustness</w:t>
      </w:r>
      <w:r>
        <w:t xml:space="preserve"> issue </w:t>
      </w:r>
      <w:r w:rsidR="00026AB8">
        <w:t>where</w:t>
      </w:r>
      <w:r>
        <w:t xml:space="preserve"> if </w:t>
      </w:r>
      <w:r w:rsidR="00955B11">
        <w:t xml:space="preserve">a </w:t>
      </w:r>
      <w:r>
        <w:t xml:space="preserve">UE misses </w:t>
      </w:r>
      <w:r w:rsidR="00130EDC">
        <w:t xml:space="preserve">detection of </w:t>
      </w:r>
      <w:r>
        <w:t>these initial signals at the start</w:t>
      </w:r>
      <w:r w:rsidR="00130EDC">
        <w:t>,</w:t>
      </w:r>
      <w:r>
        <w:t xml:space="preserve"> then </w:t>
      </w:r>
      <w:r w:rsidR="008F48B4">
        <w:t>it</w:t>
      </w:r>
      <w:r w:rsidR="004C2E5D">
        <w:t xml:space="preserve"> will miss the </w:t>
      </w:r>
      <w:r w:rsidR="00130EDC">
        <w:t xml:space="preserve">full </w:t>
      </w:r>
      <w:r w:rsidR="004C2E5D">
        <w:t>gNB COT.</w:t>
      </w:r>
    </w:p>
    <w:p w14:paraId="36225A3F" w14:textId="7630E31D" w:rsidR="004C2E5D" w:rsidRDefault="004C2E5D" w:rsidP="005E51EE">
      <w:r>
        <w:t xml:space="preserve">A wideband DMRS addresses </w:t>
      </w:r>
      <w:r w:rsidR="005936B0">
        <w:t>the above</w:t>
      </w:r>
      <w:r>
        <w:t xml:space="preserve"> </w:t>
      </w:r>
      <w:r w:rsidR="005936B0">
        <w:t>concerns</w:t>
      </w:r>
      <w:r>
        <w:t xml:space="preserve"> </w:t>
      </w:r>
      <w:r w:rsidR="005936B0">
        <w:t xml:space="preserve">with other choices, </w:t>
      </w:r>
      <w:proofErr w:type="gramStart"/>
      <w:r w:rsidR="005936B0">
        <w:t>and also</w:t>
      </w:r>
      <w:proofErr w:type="gramEnd"/>
      <w:r w:rsidR="005936B0">
        <w:t xml:space="preserve"> has the aforementioned desirable properties</w:t>
      </w:r>
      <w:r>
        <w:t xml:space="preserve">. </w:t>
      </w:r>
      <w:r w:rsidR="00130EDC">
        <w:t xml:space="preserve">The wideband DMRS can be </w:t>
      </w:r>
      <w:r w:rsidR="00955B11">
        <w:t>robustly detected at very low SNRs</w:t>
      </w:r>
      <w:r>
        <w:t xml:space="preserve">. In case the UE misses detecting </w:t>
      </w:r>
      <w:r w:rsidR="00955B11">
        <w:t xml:space="preserve">it at </w:t>
      </w:r>
      <w:r>
        <w:t>the start</w:t>
      </w:r>
      <w:r w:rsidR="00130EDC">
        <w:t xml:space="preserve"> of COT</w:t>
      </w:r>
      <w:r>
        <w:t xml:space="preserve">, </w:t>
      </w:r>
      <w:r w:rsidR="00955B11">
        <w:t>the UE</w:t>
      </w:r>
      <w:r w:rsidR="00130EDC">
        <w:t xml:space="preserve"> can </w:t>
      </w:r>
      <w:r w:rsidR="00126E7B">
        <w:t>detect it</w:t>
      </w:r>
      <w:r w:rsidR="00130EDC">
        <w:t xml:space="preserve"> even after the COT start as </w:t>
      </w:r>
      <w:r>
        <w:t xml:space="preserve">the </w:t>
      </w:r>
      <w:r w:rsidR="00130EDC">
        <w:t>PDCCH</w:t>
      </w:r>
      <w:r>
        <w:t xml:space="preserve"> DMRS anyway gets transmitted</w:t>
      </w:r>
      <w:r w:rsidR="00955B11">
        <w:t xml:space="preserve"> during the COT</w:t>
      </w:r>
      <w:r w:rsidR="007A4713">
        <w:t xml:space="preserve"> along with the grant</w:t>
      </w:r>
      <w:r>
        <w:t>. The detection is FFT based and hence timing is needed for detection.</w:t>
      </w:r>
    </w:p>
    <w:p w14:paraId="6D15D0A3" w14:textId="06C220AE" w:rsidR="00AE102E" w:rsidRDefault="004C2E5D" w:rsidP="004F0B22">
      <w:bookmarkStart w:id="6" w:name="p1"/>
      <w:r w:rsidRPr="004C2E5D">
        <w:rPr>
          <w:b/>
        </w:rPr>
        <w:t>Proposal</w:t>
      </w:r>
      <w:r w:rsidR="00E86BF9">
        <w:rPr>
          <w:b/>
        </w:rPr>
        <w:t xml:space="preserve"> </w:t>
      </w:r>
      <w:r w:rsidR="00E86BF9">
        <w:rPr>
          <w:b/>
        </w:rPr>
        <w:fldChar w:fldCharType="begin"/>
      </w:r>
      <w:r w:rsidR="00E86BF9">
        <w:rPr>
          <w:b/>
        </w:rPr>
        <w:instrText xml:space="preserve"> AUTONUMLGL  \* Arabic \e </w:instrText>
      </w:r>
      <w:r w:rsidR="00E86BF9">
        <w:rPr>
          <w:b/>
        </w:rPr>
        <w:fldChar w:fldCharType="end"/>
      </w:r>
      <w:r w:rsidRPr="004C2E5D">
        <w:rPr>
          <w:b/>
        </w:rPr>
        <w:t>:</w:t>
      </w:r>
      <w:r>
        <w:rPr>
          <w:b/>
        </w:rPr>
        <w:t xml:space="preserve"> Support PDCCH wideband DMRS for initial signal</w:t>
      </w:r>
      <w:bookmarkStart w:id="7" w:name="h"/>
      <w:bookmarkEnd w:id="6"/>
    </w:p>
    <w:bookmarkEnd w:id="7"/>
    <w:p w14:paraId="68B7A033" w14:textId="0BB19AE7" w:rsidR="009E36C3" w:rsidRDefault="006A0316" w:rsidP="004F0B22">
      <w:pPr>
        <w:pStyle w:val="Heading1"/>
        <w:numPr>
          <w:ilvl w:val="0"/>
          <w:numId w:val="42"/>
        </w:numPr>
      </w:pPr>
      <w:r>
        <w:t>RMSI PDCCH coreset configuration</w:t>
      </w:r>
    </w:p>
    <w:p w14:paraId="28658589" w14:textId="37904318" w:rsidR="00195541" w:rsidRDefault="00195541" w:rsidP="00BD16E0">
      <w:pPr>
        <w:rPr>
          <w:lang w:eastAsia="en-US"/>
        </w:rPr>
      </w:pPr>
      <w:r>
        <w:rPr>
          <w:lang w:eastAsia="en-US"/>
        </w:rPr>
        <w:t>The RAN</w:t>
      </w:r>
      <w:r w:rsidR="00E03DA9">
        <w:rPr>
          <w:lang w:eastAsia="en-US"/>
        </w:rPr>
        <w:t>1#95</w:t>
      </w:r>
      <w:r>
        <w:rPr>
          <w:lang w:eastAsia="en-US"/>
        </w:rPr>
        <w:t xml:space="preserve"> agreements include the following with respect to PDCCH:</w:t>
      </w:r>
    </w:p>
    <w:p w14:paraId="2919FBB5" w14:textId="11AC6556" w:rsidR="006A0316" w:rsidRPr="005936B0" w:rsidRDefault="006A0316" w:rsidP="004F0B22">
      <w:pPr>
        <w:pStyle w:val="ListParagraph"/>
        <w:numPr>
          <w:ilvl w:val="0"/>
          <w:numId w:val="43"/>
        </w:numPr>
        <w:rPr>
          <w:lang w:eastAsia="en-US"/>
        </w:rPr>
      </w:pPr>
      <w:r w:rsidRPr="005D7361">
        <w:rPr>
          <w:lang w:eastAsia="en-US"/>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24179513" w14:textId="37BEC31C" w:rsidR="00791C18" w:rsidRDefault="00791C18" w:rsidP="00946DD2">
      <w:pPr>
        <w:pStyle w:val="ListParagraph"/>
        <w:numPr>
          <w:ilvl w:val="0"/>
          <w:numId w:val="40"/>
        </w:numPr>
        <w:rPr>
          <w:lang w:eastAsia="en-US"/>
        </w:rPr>
      </w:pPr>
      <w: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0C5BCED1" w14:textId="42E36733" w:rsidR="008F48B4" w:rsidRDefault="00A835EA" w:rsidP="004F0B22">
      <w:pPr>
        <w:keepLines/>
        <w:suppressAutoHyphens/>
        <w:rPr>
          <w:lang w:eastAsia="en-US"/>
        </w:rPr>
      </w:pPr>
      <w:r>
        <w:t>I</w:t>
      </w:r>
      <w:r w:rsidR="00A036E8">
        <w:t>t has been agreed to</w:t>
      </w:r>
      <w:r>
        <w:t xml:space="preserve"> </w:t>
      </w:r>
      <w:r w:rsidR="00A036E8">
        <w:t>multiplex</w:t>
      </w:r>
      <w:r>
        <w:t xml:space="preserve"> </w:t>
      </w:r>
      <w:r w:rsidR="00A036E8">
        <w:t xml:space="preserve">the </w:t>
      </w:r>
      <w:r>
        <w:t xml:space="preserve">RMSI </w:t>
      </w:r>
      <w:r w:rsidR="00057910">
        <w:t xml:space="preserve">PDCCH/PDSCH </w:t>
      </w:r>
      <w:r w:rsidR="00A036E8">
        <w:t xml:space="preserve">with the DRS transmission, </w:t>
      </w:r>
      <w:r>
        <w:t xml:space="preserve">along with the </w:t>
      </w:r>
      <w:r w:rsidR="00A036E8">
        <w:t>SSBs using p</w:t>
      </w:r>
      <w:r w:rsidR="006F04CB">
        <w:t>a</w:t>
      </w:r>
      <w:r w:rsidR="00A036E8">
        <w:t>ttern 1</w:t>
      </w:r>
      <w:r w:rsidR="00057910">
        <w:t>,</w:t>
      </w:r>
      <w:r w:rsidR="008F48B4">
        <w:t xml:space="preserve"> without gap</w:t>
      </w:r>
      <w:r w:rsidR="00057910">
        <w:t>s</w:t>
      </w:r>
      <w:r w:rsidR="008F48B4">
        <w:t xml:space="preserve"> in the transmission</w:t>
      </w:r>
      <w:r w:rsidR="00A036E8">
        <w:t xml:space="preserve">. </w:t>
      </w:r>
      <w:r w:rsidR="00057910">
        <w:t>Following are some desirable properties for DRS design</w:t>
      </w:r>
      <w:r w:rsidR="00A036E8">
        <w:t>:</w:t>
      </w:r>
    </w:p>
    <w:p w14:paraId="7936C3DC" w14:textId="3D854E28" w:rsidR="00A036E8" w:rsidRDefault="00A036E8" w:rsidP="004F0B22">
      <w:pPr>
        <w:pStyle w:val="ListParagraph"/>
        <w:numPr>
          <w:ilvl w:val="0"/>
          <w:numId w:val="21"/>
        </w:numPr>
        <w:jc w:val="both"/>
        <w:rPr>
          <w:lang w:eastAsia="en-US"/>
        </w:rPr>
      </w:pPr>
      <w:r>
        <w:rPr>
          <w:lang w:eastAsia="en-US"/>
        </w:rPr>
        <w:t>Continuous transmission of the DRS without gaps.</w:t>
      </w:r>
    </w:p>
    <w:p w14:paraId="48CF36B1" w14:textId="4272527E" w:rsidR="00A036E8" w:rsidRDefault="00A036E8" w:rsidP="004F0B22">
      <w:pPr>
        <w:pStyle w:val="ListParagraph"/>
        <w:numPr>
          <w:ilvl w:val="0"/>
          <w:numId w:val="21"/>
        </w:numPr>
        <w:jc w:val="both"/>
        <w:rPr>
          <w:lang w:eastAsia="en-US"/>
        </w:rPr>
      </w:pPr>
      <w:r>
        <w:rPr>
          <w:lang w:eastAsia="en-US"/>
        </w:rPr>
        <w:t xml:space="preserve">Start DRS transmission after the LBT success, without waiting for </w:t>
      </w:r>
      <w:r w:rsidR="00057910">
        <w:rPr>
          <w:lang w:eastAsia="en-US"/>
        </w:rPr>
        <w:t xml:space="preserve">a </w:t>
      </w:r>
      <w:r>
        <w:rPr>
          <w:lang w:eastAsia="en-US"/>
        </w:rPr>
        <w:t>slot boundary.</w:t>
      </w:r>
    </w:p>
    <w:p w14:paraId="321CE49D" w14:textId="28FAF8BA" w:rsidR="00836180" w:rsidRDefault="006A0316">
      <w:r>
        <w:t>In order to have a compact DR</w:t>
      </w:r>
      <w:r w:rsidR="00D2746E">
        <w:t xml:space="preserve">S, it is preferable to have both </w:t>
      </w:r>
      <w:r>
        <w:t>SS/PBCH</w:t>
      </w:r>
      <w:r w:rsidR="00D2746E">
        <w:t xml:space="preserve"> blocks and the associated RMSI in the same slot. The PBCH </w:t>
      </w:r>
      <w:r w:rsidR="006649CC">
        <w:t>in</w:t>
      </w:r>
      <w:r w:rsidR="00D2746E">
        <w:t xml:space="preserve"> each </w:t>
      </w:r>
      <w:r w:rsidR="006649CC">
        <w:t xml:space="preserve">of the </w:t>
      </w:r>
      <w:r w:rsidR="00D2746E">
        <w:t>SSB/PBCH block</w:t>
      </w:r>
      <w:r w:rsidR="006649CC">
        <w:t>s</w:t>
      </w:r>
      <w:r w:rsidR="00D2746E">
        <w:t xml:space="preserve"> contains the time/frequency resource </w:t>
      </w:r>
      <w:r w:rsidR="006649CC">
        <w:t>mapping for the respective RMSI PDCCH according to section 13, 38.213 in NR release 15.</w:t>
      </w:r>
      <w:r w:rsidR="00D2746E">
        <w:t xml:space="preserve"> </w:t>
      </w:r>
      <w:r w:rsidR="006649CC">
        <w:t xml:space="preserve">Table 13-11 in the same section describes the symbols containing the RMSI coreset. According to the table, </w:t>
      </w:r>
      <w:r w:rsidR="00A036E8">
        <w:t xml:space="preserve">RMSI </w:t>
      </w:r>
      <w:r>
        <w:t>PDCCH monitoring occasion</w:t>
      </w:r>
      <w:r w:rsidR="00D2746E">
        <w:t>s</w:t>
      </w:r>
      <w:r>
        <w:t xml:space="preserve"> </w:t>
      </w:r>
      <w:r w:rsidR="00D2746E">
        <w:t xml:space="preserve">for the </w:t>
      </w:r>
      <w:r w:rsidR="006649CC">
        <w:t>both</w:t>
      </w:r>
      <w:r w:rsidR="00D2746E">
        <w:t xml:space="preserve"> SS/PBCH blocks in a slot can only be configured in the first few consecutive symbols of the slot</w:t>
      </w:r>
      <w:r w:rsidR="00836180">
        <w:t xml:space="preserve">. </w:t>
      </w:r>
      <w:r w:rsidR="006649CC">
        <w:t>For example, the RMSI PDCCH for SSB0 in symbol 0 and SSB1 in symbol 1. I</w:t>
      </w:r>
      <w:r w:rsidR="00A036E8">
        <w:t xml:space="preserve">n case LBT success </w:t>
      </w:r>
      <w:r w:rsidR="00252931">
        <w:t xml:space="preserve">occurs </w:t>
      </w:r>
      <w:r w:rsidR="00A036E8">
        <w:t xml:space="preserve">between </w:t>
      </w:r>
      <w:r w:rsidR="00836180">
        <w:t xml:space="preserve">the </w:t>
      </w:r>
      <w:r w:rsidR="00A036E8">
        <w:t xml:space="preserve">2 SSBs in </w:t>
      </w:r>
      <w:r w:rsidR="00007751">
        <w:t>the</w:t>
      </w:r>
      <w:r w:rsidR="00A036E8">
        <w:t xml:space="preserve"> slot, the </w:t>
      </w:r>
      <w:r w:rsidR="00592B65">
        <w:t>RMSI</w:t>
      </w:r>
      <w:r w:rsidR="00007751">
        <w:t xml:space="preserve"> PDCCH</w:t>
      </w:r>
      <w:r w:rsidR="00A036E8">
        <w:t xml:space="preserve"> of the SSB</w:t>
      </w:r>
      <w:r w:rsidR="00836180">
        <w:t xml:space="preserve"> in the second half slot cannot be transmitted in the same slot, because NR supports only </w:t>
      </w:r>
      <w:r w:rsidR="00252931">
        <w:t>first few symbols</w:t>
      </w:r>
      <w:r w:rsidR="00836180">
        <w:t xml:space="preserve"> for RMSI coreset.</w:t>
      </w:r>
    </w:p>
    <w:p w14:paraId="566419EF" w14:textId="53282F65" w:rsidR="006F333E" w:rsidRPr="00F52897" w:rsidRDefault="009E3F74">
      <w:r>
        <w:t xml:space="preserve">This can be addressed if </w:t>
      </w:r>
      <w:r w:rsidR="00906B11">
        <w:t>w</w:t>
      </w:r>
      <w:r w:rsidR="00252931">
        <w:t xml:space="preserve">e </w:t>
      </w:r>
      <w:r>
        <w:t xml:space="preserve">enhance NR design and allow </w:t>
      </w:r>
      <w:r w:rsidR="00252931">
        <w:t>transmit</w:t>
      </w:r>
      <w:r>
        <w:t>ting</w:t>
      </w:r>
      <w:r w:rsidR="00252931">
        <w:t xml:space="preserve"> the </w:t>
      </w:r>
      <w:r w:rsidR="00836180">
        <w:t xml:space="preserve">RMSI </w:t>
      </w:r>
      <w:r w:rsidR="00057910">
        <w:t>PDCCH</w:t>
      </w:r>
      <w:r w:rsidR="00836180">
        <w:t xml:space="preserve"> associated with the second SSB in the second half slot</w:t>
      </w:r>
      <w:r w:rsidR="00252931">
        <w:t>, between the 2 SSBs</w:t>
      </w:r>
      <w:r w:rsidR="00126E7B">
        <w:t>,</w:t>
      </w:r>
      <w:r w:rsidR="00007751">
        <w:t xml:space="preserve"> as shown in </w:t>
      </w:r>
      <w:r w:rsidR="003C0247">
        <w:fldChar w:fldCharType="begin"/>
      </w:r>
      <w:r w:rsidR="003C0247">
        <w:instrText xml:space="preserve"> REF _Ref535007471 \h </w:instrText>
      </w:r>
      <w:r w:rsidR="003C0247">
        <w:fldChar w:fldCharType="separate"/>
      </w:r>
      <w:r w:rsidR="0053343D">
        <w:t xml:space="preserve">Figure </w:t>
      </w:r>
      <w:r w:rsidR="0053343D">
        <w:rPr>
          <w:noProof/>
        </w:rPr>
        <w:t>1</w:t>
      </w:r>
      <w:r w:rsidR="003C0247">
        <w:fldChar w:fldCharType="end"/>
      </w:r>
      <w:r w:rsidR="003C0247">
        <w:t xml:space="preserve"> </w:t>
      </w:r>
      <w:r w:rsidR="00007751">
        <w:t>below</w:t>
      </w:r>
      <w:r w:rsidR="00836180">
        <w:t>.</w:t>
      </w:r>
      <w:r w:rsidR="00007751">
        <w:t xml:space="preserve"> </w:t>
      </w:r>
      <w:r w:rsidR="00592B65">
        <w:t>The figure shows 2 scenarios. In the first scenario LBT success is before SSB0 occasion, and in the second scenario LBT success happens after SSB0. In both the cases the RMSI PDCCH is transmitted in the same slot</w:t>
      </w:r>
      <w:r>
        <w:t xml:space="preserve"> due to the proposed enhancement</w:t>
      </w:r>
      <w:r w:rsidR="00592B65">
        <w:t xml:space="preserve">. </w:t>
      </w:r>
      <w:r w:rsidR="00007751">
        <w:t>More details of the NR</w:t>
      </w:r>
      <w:r w:rsidR="00882C57">
        <w:t>-</w:t>
      </w:r>
      <w:r w:rsidR="00007751">
        <w:t xml:space="preserve">U DRS </w:t>
      </w:r>
      <w:r w:rsidR="00906B11">
        <w:t>are included</w:t>
      </w:r>
      <w:r w:rsidR="00007751">
        <w:t xml:space="preserve"> in companion contributions [</w:t>
      </w:r>
      <w:r w:rsidR="0046418C">
        <w:t>6</w:t>
      </w:r>
      <w:r w:rsidR="00007751">
        <w:t>] and [</w:t>
      </w:r>
      <w:r w:rsidR="0046418C">
        <w:t>7</w:t>
      </w:r>
      <w:r w:rsidR="00007751">
        <w:t>].</w:t>
      </w:r>
      <w:r w:rsidR="006F333E">
        <w:t xml:space="preserve"> </w:t>
      </w:r>
    </w:p>
    <w:p w14:paraId="28952534" w14:textId="77777777" w:rsidR="006F333E" w:rsidRDefault="006F333E" w:rsidP="00BD16E0">
      <w:pPr>
        <w:rPr>
          <w:b/>
          <w:lang w:eastAsia="en-US"/>
        </w:rPr>
      </w:pPr>
    </w:p>
    <w:p w14:paraId="6BD93252" w14:textId="77777777" w:rsidR="00C54A5C" w:rsidRDefault="00121DBE" w:rsidP="00C54A5C">
      <w:pPr>
        <w:pStyle w:val="Caption"/>
        <w:keepNext/>
        <w:jc w:val="center"/>
      </w:pPr>
      <w:r>
        <w:object w:dxaOrig="9120" w:dyaOrig="3592" w14:anchorId="1E877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79.5pt" o:ole="">
            <v:imagedata r:id="rId13" o:title=""/>
          </v:shape>
          <o:OLEObject Type="Embed" ProgID="Visio.Drawing.11" ShapeID="_x0000_i1025" DrawAspect="Content" ObjectID="_1608751016" r:id="rId14"/>
        </w:object>
      </w:r>
    </w:p>
    <w:p w14:paraId="5B0EAC35" w14:textId="027431E0" w:rsidR="00121DBE" w:rsidRDefault="00C54A5C" w:rsidP="00C54A5C">
      <w:pPr>
        <w:pStyle w:val="Caption"/>
        <w:jc w:val="center"/>
      </w:pPr>
      <w:bookmarkStart w:id="8" w:name="_Ref535007471"/>
      <w:r>
        <w:t xml:space="preserve">Figure </w:t>
      </w:r>
      <w:r>
        <w:fldChar w:fldCharType="begin"/>
      </w:r>
      <w:r>
        <w:instrText xml:space="preserve"> SEQ Figure \* ARABIC </w:instrText>
      </w:r>
      <w:r>
        <w:fldChar w:fldCharType="separate"/>
      </w:r>
      <w:r w:rsidR="0053343D">
        <w:rPr>
          <w:noProof/>
        </w:rPr>
        <w:t>1</w:t>
      </w:r>
      <w:r>
        <w:fldChar w:fldCharType="end"/>
      </w:r>
      <w:bookmarkEnd w:id="8"/>
      <w:r w:rsidR="00AF58E2">
        <w:t>:</w:t>
      </w:r>
      <w:r>
        <w:t xml:space="preserve"> DRS</w:t>
      </w:r>
    </w:p>
    <w:p w14:paraId="052C4922" w14:textId="4FFE37C5" w:rsidR="00106A71" w:rsidRDefault="00F52897" w:rsidP="00BD16E0">
      <w:pPr>
        <w:rPr>
          <w:lang w:eastAsia="en-US"/>
        </w:rPr>
      </w:pPr>
      <w:bookmarkStart w:id="9" w:name="p2"/>
      <w:r w:rsidRPr="00D323C5">
        <w:rPr>
          <w:b/>
          <w:lang w:eastAsia="en-US"/>
        </w:rPr>
        <w:t>Proposal</w:t>
      </w:r>
      <w:r w:rsidR="00E86BF9">
        <w:rPr>
          <w:b/>
        </w:rPr>
        <w:t xml:space="preserve"> </w:t>
      </w:r>
      <w:r w:rsidR="004A56F1">
        <w:rPr>
          <w:b/>
        </w:rPr>
        <w:fldChar w:fldCharType="begin"/>
      </w:r>
      <w:r w:rsidR="004A56F1">
        <w:rPr>
          <w:b/>
        </w:rPr>
        <w:instrText xml:space="preserve"> AUTONUMLGL  \* Arabic \e </w:instrText>
      </w:r>
      <w:r w:rsidR="004A56F1">
        <w:rPr>
          <w:b/>
        </w:rPr>
        <w:fldChar w:fldCharType="end"/>
      </w:r>
      <w:r w:rsidRPr="00D323C5">
        <w:rPr>
          <w:b/>
          <w:lang w:eastAsia="en-US"/>
        </w:rPr>
        <w:t>:</w:t>
      </w:r>
      <w:r>
        <w:rPr>
          <w:b/>
          <w:lang w:eastAsia="en-US"/>
        </w:rPr>
        <w:t xml:space="preserve"> RMSI core</w:t>
      </w:r>
      <w:r w:rsidR="00D323C5">
        <w:rPr>
          <w:b/>
          <w:lang w:eastAsia="en-US"/>
        </w:rPr>
        <w:t xml:space="preserve">set </w:t>
      </w:r>
      <w:r w:rsidR="007F2DCF">
        <w:rPr>
          <w:b/>
          <w:lang w:eastAsia="en-US"/>
        </w:rPr>
        <w:t>for second SSB in a slot can</w:t>
      </w:r>
      <w:r w:rsidR="00252931">
        <w:rPr>
          <w:b/>
          <w:lang w:eastAsia="en-US"/>
        </w:rPr>
        <w:t xml:space="preserve"> occupy</w:t>
      </w:r>
      <w:r w:rsidR="00D323C5">
        <w:rPr>
          <w:b/>
          <w:lang w:eastAsia="en-US"/>
        </w:rPr>
        <w:t xml:space="preserve"> </w:t>
      </w:r>
      <w:r w:rsidR="007F2DCF">
        <w:rPr>
          <w:b/>
          <w:lang w:eastAsia="en-US"/>
        </w:rPr>
        <w:t xml:space="preserve">the </w:t>
      </w:r>
      <w:r w:rsidR="00D323C5">
        <w:rPr>
          <w:b/>
          <w:lang w:eastAsia="en-US"/>
        </w:rPr>
        <w:t xml:space="preserve">symbols between the 2 SSBs </w:t>
      </w:r>
      <w:r w:rsidR="00252931">
        <w:rPr>
          <w:b/>
          <w:lang w:eastAsia="en-US"/>
        </w:rPr>
        <w:t>in</w:t>
      </w:r>
      <w:r w:rsidR="00D323C5">
        <w:rPr>
          <w:b/>
          <w:lang w:eastAsia="en-US"/>
        </w:rPr>
        <w:t xml:space="preserve"> </w:t>
      </w:r>
      <w:r w:rsidR="00252931">
        <w:rPr>
          <w:b/>
          <w:lang w:eastAsia="en-US"/>
        </w:rPr>
        <w:t>the</w:t>
      </w:r>
      <w:r w:rsidR="00D323C5">
        <w:rPr>
          <w:b/>
          <w:lang w:eastAsia="en-US"/>
        </w:rPr>
        <w:t xml:space="preserve"> slot</w:t>
      </w:r>
      <w:bookmarkEnd w:id="9"/>
    </w:p>
    <w:p w14:paraId="3DC6C3B7" w14:textId="7338A9A9" w:rsidR="008266CF" w:rsidRDefault="00BD16E0" w:rsidP="00BD16E0">
      <w:pPr>
        <w:pStyle w:val="Heading1"/>
      </w:pPr>
      <w:r>
        <w:lastRenderedPageBreak/>
        <w:t>Dynamic PDCCH monitoring</w:t>
      </w:r>
    </w:p>
    <w:p w14:paraId="2BAC3789" w14:textId="213C9CD9" w:rsidR="0044242B" w:rsidRDefault="0044242B" w:rsidP="0044242B">
      <w:r>
        <w:t>The RAN1#95 agreement includes the following with respect to dynamic PDCCH monitoring periodicity:</w:t>
      </w:r>
    </w:p>
    <w:p w14:paraId="0BE3E232" w14:textId="3A6BDF56" w:rsidR="0044242B" w:rsidRDefault="0044242B" w:rsidP="004B2C52">
      <w:pPr>
        <w:pStyle w:val="ListParagraph"/>
        <w:numPr>
          <w:ilvl w:val="0"/>
          <w:numId w:val="40"/>
        </w:numPr>
      </w:pPr>
      <w:r>
        <w:rPr>
          <w:lang w:eastAsia="x-none"/>
        </w:rPr>
        <w:t>Compared to NR Rel-15, it has been identified to be beneficial if the time domain instances in which the UE is expected to receive PDCCH can change dynamically, e.g. by implicit determination related to the gNB’s COT, or explicitly signalled by the gNB.</w:t>
      </w:r>
    </w:p>
    <w:p w14:paraId="08DC5CC5" w14:textId="48EEF692" w:rsidR="005C2D9D" w:rsidRDefault="0016497F" w:rsidP="0016497F">
      <w:pPr>
        <w:tabs>
          <w:tab w:val="left" w:pos="630"/>
        </w:tabs>
      </w:pPr>
      <w:r>
        <w:t xml:space="preserve">To reduce the </w:t>
      </w:r>
      <w:r w:rsidR="00906B11">
        <w:t>LBT related</w:t>
      </w:r>
      <w:r>
        <w:t xml:space="preserve"> overhead, </w:t>
      </w:r>
      <w:r w:rsidR="00906B11">
        <w:t xml:space="preserve">it is desirable for </w:t>
      </w:r>
      <w:r>
        <w:t xml:space="preserve">gNB </w:t>
      </w:r>
      <w:r w:rsidR="00906B11">
        <w:t xml:space="preserve">to have a </w:t>
      </w:r>
      <w:r w:rsidR="00047F1B">
        <w:t>flexible COT starting point</w:t>
      </w:r>
      <w:r w:rsidR="00906B11">
        <w:t xml:space="preserve"> (such as every symbol). However, this would mean</w:t>
      </w:r>
      <w:r>
        <w:t xml:space="preserve"> </w:t>
      </w:r>
      <w:r w:rsidR="00754D86">
        <w:t>the UE has to monitor</w:t>
      </w:r>
      <w:r w:rsidR="007E4490">
        <w:t xml:space="preserve"> for the DL burst start continuo</w:t>
      </w:r>
      <w:r w:rsidR="005D7361">
        <w:t>u</w:t>
      </w:r>
      <w:r w:rsidR="007E4490">
        <w:t>sly</w:t>
      </w:r>
      <w:r w:rsidR="00754D86">
        <w:t xml:space="preserve">. </w:t>
      </w:r>
      <w:r w:rsidR="005D7361">
        <w:t xml:space="preserve">Any design </w:t>
      </w:r>
      <w:r w:rsidR="00047F1B">
        <w:t>that provides</w:t>
      </w:r>
      <w:r w:rsidR="000C43FD">
        <w:t xml:space="preserve"> </w:t>
      </w:r>
      <w:r w:rsidR="00047F1B">
        <w:t xml:space="preserve">flexible COT </w:t>
      </w:r>
      <w:r w:rsidR="000C43FD">
        <w:t>starting time in a</w:t>
      </w:r>
      <w:r w:rsidR="005D7361">
        <w:t xml:space="preserve"> slot should consider the following</w:t>
      </w:r>
      <w:r w:rsidR="00A074B1">
        <w:t>:</w:t>
      </w:r>
    </w:p>
    <w:p w14:paraId="227BAC50" w14:textId="13EC8B07" w:rsidR="00A074B1" w:rsidRDefault="00A074B1" w:rsidP="004F0B22">
      <w:pPr>
        <w:pStyle w:val="ListParagraph"/>
        <w:numPr>
          <w:ilvl w:val="0"/>
          <w:numId w:val="21"/>
        </w:numPr>
        <w:tabs>
          <w:tab w:val="left" w:pos="630"/>
        </w:tabs>
      </w:pPr>
      <w:r>
        <w:t xml:space="preserve">Robust detection of the DL </w:t>
      </w:r>
      <w:r w:rsidR="0063230C">
        <w:t>transmission</w:t>
      </w:r>
    </w:p>
    <w:p w14:paraId="2F22E757" w14:textId="749E428A" w:rsidR="005D7361" w:rsidRDefault="000C43FD" w:rsidP="004F0B22">
      <w:pPr>
        <w:pStyle w:val="ListParagraph"/>
        <w:numPr>
          <w:ilvl w:val="0"/>
          <w:numId w:val="21"/>
        </w:numPr>
        <w:tabs>
          <w:tab w:val="left" w:pos="630"/>
        </w:tabs>
      </w:pPr>
      <w:r>
        <w:t xml:space="preserve">Ability for </w:t>
      </w:r>
      <w:r w:rsidR="0063230C">
        <w:t>UE that missed detecting the start of transmission</w:t>
      </w:r>
      <w:r>
        <w:t xml:space="preserve"> to detect it at a later time</w:t>
      </w:r>
    </w:p>
    <w:p w14:paraId="32FA8528" w14:textId="3F5A3FE1" w:rsidR="00A074B1" w:rsidRDefault="005D7361" w:rsidP="004F0B22">
      <w:pPr>
        <w:pStyle w:val="ListParagraph"/>
        <w:numPr>
          <w:ilvl w:val="0"/>
          <w:numId w:val="21"/>
        </w:numPr>
        <w:tabs>
          <w:tab w:val="left" w:pos="630"/>
        </w:tabs>
      </w:pPr>
      <w:r>
        <w:t>UE PDCCH monitoring complexity</w:t>
      </w:r>
      <w:r w:rsidR="009E3F74">
        <w:t xml:space="preserve"> and power consumption</w:t>
      </w:r>
    </w:p>
    <w:p w14:paraId="423795F7" w14:textId="5CE5AEFF" w:rsidR="00D74522" w:rsidRDefault="00952CFA" w:rsidP="0016497F">
      <w:pPr>
        <w:tabs>
          <w:tab w:val="left" w:pos="630"/>
        </w:tabs>
      </w:pPr>
      <w:r>
        <w:t xml:space="preserve">There </w:t>
      </w:r>
      <w:r w:rsidR="007E4490">
        <w:t>are</w:t>
      </w:r>
      <w:r>
        <w:t xml:space="preserve"> proposals </w:t>
      </w:r>
      <w:r w:rsidR="0016497F">
        <w:t>to have gNB schedule data with mini-slot granularity</w:t>
      </w:r>
      <w:r w:rsidR="00E70507">
        <w:t xml:space="preserve"> in the beginning of the </w:t>
      </w:r>
      <w:r w:rsidR="00E14AEC">
        <w:t>COT</w:t>
      </w:r>
      <w:r w:rsidR="0016497F">
        <w:t xml:space="preserve">. </w:t>
      </w:r>
      <w:r w:rsidR="0063230C">
        <w:t>The current NR PDSCH transmission type B with 2/4/7 symbol duration supports this. T</w:t>
      </w:r>
      <w:r w:rsidR="00DB0F4D">
        <w:t xml:space="preserve">he UE </w:t>
      </w:r>
      <w:r w:rsidR="0063230C">
        <w:t xml:space="preserve">has to </w:t>
      </w:r>
      <w:r w:rsidR="00DB0F4D">
        <w:t xml:space="preserve">monitor the PDCCH at mini-slot granularity before </w:t>
      </w:r>
      <w:r w:rsidR="00E14AEC">
        <w:t>COT</w:t>
      </w:r>
      <w:r w:rsidR="00DB0F4D">
        <w:t xml:space="preserve"> start</w:t>
      </w:r>
      <w:r w:rsidR="0063230C">
        <w:t xml:space="preserve"> and for some time after </w:t>
      </w:r>
      <w:r w:rsidR="00E14AEC">
        <w:t>COT</w:t>
      </w:r>
      <w:r w:rsidR="0063230C">
        <w:t xml:space="preserve"> start</w:t>
      </w:r>
      <w:r w:rsidR="00DB0F4D">
        <w:t xml:space="preserve">. </w:t>
      </w:r>
      <w:r w:rsidR="0016497F">
        <w:t xml:space="preserve">To reduce the PDCCH overhead and UE monitoring complexity, the mini-slot based scheduling </w:t>
      </w:r>
      <w:r w:rsidR="00592B65">
        <w:t>is</w:t>
      </w:r>
      <w:r w:rsidR="0016497F">
        <w:t xml:space="preserve"> applied </w:t>
      </w:r>
      <w:r w:rsidR="00592B65">
        <w:t xml:space="preserve">only </w:t>
      </w:r>
      <w:r w:rsidR="0016497F">
        <w:t xml:space="preserve">in the beginning of the </w:t>
      </w:r>
      <w:r w:rsidR="00877671">
        <w:t>COT</w:t>
      </w:r>
      <w:r w:rsidR="00592B65">
        <w:t>. After the first or second slot boundary,</w:t>
      </w:r>
      <w:r w:rsidR="0016497F">
        <w:t xml:space="preserve"> </w:t>
      </w:r>
      <w:r w:rsidR="00592B65">
        <w:t xml:space="preserve">the gNB can switch the scheduling to </w:t>
      </w:r>
      <w:r w:rsidR="0016497F">
        <w:t>slot level</w:t>
      </w:r>
      <w:r w:rsidR="0063230C">
        <w:t xml:space="preserve">, as shown in </w:t>
      </w:r>
      <w:r w:rsidR="006F7F84">
        <w:fldChar w:fldCharType="begin"/>
      </w:r>
      <w:r w:rsidR="006F7F84">
        <w:instrText xml:space="preserve"> REF _Ref534964080 \h </w:instrText>
      </w:r>
      <w:r w:rsidR="006F7F84">
        <w:fldChar w:fldCharType="separate"/>
      </w:r>
      <w:r w:rsidR="0053343D">
        <w:t xml:space="preserve">Figure </w:t>
      </w:r>
      <w:r w:rsidR="0053343D">
        <w:rPr>
          <w:noProof/>
        </w:rPr>
        <w:t>2</w:t>
      </w:r>
      <w:r w:rsidR="006F7F84">
        <w:fldChar w:fldCharType="end"/>
      </w:r>
      <w:r w:rsidR="0016497F">
        <w:t>.</w:t>
      </w:r>
      <w:r w:rsidR="00022F28">
        <w:t xml:space="preserve"> </w:t>
      </w:r>
      <w:r w:rsidR="00555005">
        <w:t xml:space="preserve">The UE thus monitors at mini-slot granularity </w:t>
      </w:r>
      <w:r w:rsidR="00504482">
        <w:t>b</w:t>
      </w:r>
      <w:r w:rsidR="0043236A">
        <w:t xml:space="preserve">efore </w:t>
      </w:r>
      <w:r w:rsidR="00E14AEC">
        <w:t>COT</w:t>
      </w:r>
      <w:r w:rsidR="00504482">
        <w:t xml:space="preserve"> start</w:t>
      </w:r>
      <w:r w:rsidR="0043236A">
        <w:t xml:space="preserve"> and at least till the first slot boundary</w:t>
      </w:r>
      <w:r w:rsidR="00504482">
        <w:t xml:space="preserve"> after </w:t>
      </w:r>
      <w:r w:rsidR="00E14AEC">
        <w:t>COT</w:t>
      </w:r>
      <w:r w:rsidR="00504482">
        <w:t xml:space="preserve"> start</w:t>
      </w:r>
      <w:r w:rsidR="0043236A">
        <w:t xml:space="preserve">, and then switch to slot </w:t>
      </w:r>
      <w:r w:rsidR="00504482">
        <w:t xml:space="preserve">level monitoring </w:t>
      </w:r>
      <w:r w:rsidR="0043236A">
        <w:t xml:space="preserve">granularity. </w:t>
      </w:r>
      <w:r w:rsidR="00504482">
        <w:t xml:space="preserve">The </w:t>
      </w:r>
      <w:r w:rsidR="00FC12B1">
        <w:t xml:space="preserve">scheduled </w:t>
      </w:r>
      <w:r w:rsidR="00504482">
        <w:t xml:space="preserve">frequency resources </w:t>
      </w:r>
      <w:r w:rsidR="00FC12B1">
        <w:t>may also</w:t>
      </w:r>
      <w:r w:rsidR="00504482">
        <w:t xml:space="preserve"> be different before and after </w:t>
      </w:r>
      <w:r w:rsidR="00E14AEC">
        <w:t>COT</w:t>
      </w:r>
      <w:r w:rsidR="00504482">
        <w:t xml:space="preserve"> start.</w:t>
      </w:r>
      <w:r w:rsidR="00D568EA">
        <w:t xml:space="preserve"> </w:t>
      </w:r>
      <w:r w:rsidR="006A4F9A">
        <w:t>T</w:t>
      </w:r>
      <w:r w:rsidR="00D568EA">
        <w:t xml:space="preserve">he UE </w:t>
      </w:r>
      <w:r w:rsidR="0063230C">
        <w:t xml:space="preserve">monitoring the </w:t>
      </w:r>
      <w:r w:rsidR="00D568EA">
        <w:t xml:space="preserve">PDCCH </w:t>
      </w:r>
      <w:r w:rsidR="0063230C">
        <w:t>will</w:t>
      </w:r>
      <w:r w:rsidR="00D568EA">
        <w:t xml:space="preserve"> switch both the time </w:t>
      </w:r>
      <w:r w:rsidR="00592B65">
        <w:t>occasions</w:t>
      </w:r>
      <w:r w:rsidR="00D568EA">
        <w:t xml:space="preserve"> and the frequency resources</w:t>
      </w:r>
      <w:r w:rsidR="00FC12B1">
        <w:t xml:space="preserve"> monitored</w:t>
      </w:r>
      <w:r w:rsidR="00D568EA">
        <w:t xml:space="preserve">. </w:t>
      </w:r>
      <w:r w:rsidR="0016497F">
        <w:t xml:space="preserve">To </w:t>
      </w:r>
      <w:r w:rsidR="00CD693A">
        <w:t>enable this</w:t>
      </w:r>
      <w:r w:rsidR="0016497F">
        <w:t xml:space="preserve">, the CORESET </w:t>
      </w:r>
      <w:r w:rsidR="00DB0F4D">
        <w:t>for</w:t>
      </w:r>
      <w:r w:rsidR="0016497F">
        <w:t xml:space="preserve"> mini-slot </w:t>
      </w:r>
      <w:r w:rsidR="00DB0F4D">
        <w:t>monitoring</w:t>
      </w:r>
      <w:r w:rsidR="0016497F">
        <w:t xml:space="preserve"> </w:t>
      </w:r>
      <w:r w:rsidR="000C43FD">
        <w:t xml:space="preserve">(e.g. before the COT start and in initial portion of the COT) </w:t>
      </w:r>
      <w:r w:rsidR="0016497F">
        <w:t xml:space="preserve">may be different compared to the CORESET </w:t>
      </w:r>
      <w:r w:rsidR="00DB0F4D">
        <w:t>the</w:t>
      </w:r>
      <w:r w:rsidR="0016497F">
        <w:t xml:space="preserve"> slot </w:t>
      </w:r>
      <w:r w:rsidR="00DB0F4D">
        <w:t>level monitoring</w:t>
      </w:r>
      <w:r w:rsidR="000C43FD">
        <w:t xml:space="preserve"> (e.g. inside the COT)</w:t>
      </w:r>
      <w:r w:rsidR="0016497F">
        <w:t>.</w:t>
      </w:r>
    </w:p>
    <w:p w14:paraId="68F3A952" w14:textId="77777777" w:rsidR="009E3F74" w:rsidRDefault="009E3F74" w:rsidP="009E3F74">
      <w:pPr>
        <w:keepNext/>
        <w:tabs>
          <w:tab w:val="left" w:pos="630"/>
        </w:tabs>
      </w:pPr>
      <w:r>
        <w:object w:dxaOrig="13082" w:dyaOrig="3054" w14:anchorId="56B89D9E">
          <v:shape id="_x0000_i1026" type="#_x0000_t75" style="width:467.5pt;height:109pt" o:ole="">
            <v:imagedata r:id="rId15" o:title=""/>
          </v:shape>
          <o:OLEObject Type="Embed" ProgID="Visio.Drawing.11" ShapeID="_x0000_i1026" DrawAspect="Content" ObjectID="_1608751017" r:id="rId16"/>
        </w:object>
      </w:r>
    </w:p>
    <w:p w14:paraId="66B3AAB8" w14:textId="54C28D4F" w:rsidR="009E3F74" w:rsidRDefault="009E3F74" w:rsidP="009E3F74">
      <w:pPr>
        <w:pStyle w:val="Caption"/>
        <w:jc w:val="center"/>
      </w:pPr>
      <w:bookmarkStart w:id="10" w:name="_Ref534964080"/>
      <w:r>
        <w:t xml:space="preserve">Figure </w:t>
      </w:r>
      <w:r>
        <w:fldChar w:fldCharType="begin"/>
      </w:r>
      <w:r>
        <w:instrText xml:space="preserve"> SEQ Figure \* ARABIC </w:instrText>
      </w:r>
      <w:r>
        <w:fldChar w:fldCharType="separate"/>
      </w:r>
      <w:r w:rsidR="0053343D">
        <w:rPr>
          <w:noProof/>
        </w:rPr>
        <w:t>2</w:t>
      </w:r>
      <w:r>
        <w:fldChar w:fldCharType="end"/>
      </w:r>
      <w:bookmarkEnd w:id="10"/>
      <w:r>
        <w:t>: Dynamic PDCCH monitoring</w:t>
      </w:r>
    </w:p>
    <w:p w14:paraId="204C8448" w14:textId="3031DB4C" w:rsidR="00927476" w:rsidRDefault="004A56F1" w:rsidP="00927476">
      <w:pPr>
        <w:pStyle w:val="proposal"/>
      </w:pPr>
      <w:bookmarkStart w:id="11" w:name="p3"/>
      <w:bookmarkStart w:id="12" w:name="_Hlk534917616"/>
      <w:r>
        <w:t xml:space="preserve">Proposal </w:t>
      </w:r>
      <w:r w:rsidRPr="004F0B22">
        <w:fldChar w:fldCharType="begin"/>
      </w:r>
      <w:r w:rsidRPr="004F0B22">
        <w:instrText xml:space="preserve"> AUTONUMLGL  \* Arabic \e </w:instrText>
      </w:r>
      <w:r w:rsidRPr="004F0B22">
        <w:fldChar w:fldCharType="end"/>
      </w:r>
      <w:r w:rsidR="00927476">
        <w:t xml:space="preserve">: The current NR PDSCH transmission type B </w:t>
      </w:r>
      <w:r w:rsidR="00CE4EBB">
        <w:t xml:space="preserve">scheduling </w:t>
      </w:r>
      <w:r w:rsidR="00927476">
        <w:t xml:space="preserve">with 2/4/7 symbol duration </w:t>
      </w:r>
      <w:r w:rsidR="00CE4EBB">
        <w:t xml:space="preserve">(mini-slot based scheduling) </w:t>
      </w:r>
      <w:r w:rsidR="00927476">
        <w:t>can be reused for NR-U</w:t>
      </w:r>
      <w:r w:rsidR="006A4F9A">
        <w:t>, to allow flexible gNB COT starting points</w:t>
      </w:r>
      <w:r w:rsidR="00927476">
        <w:t>.</w:t>
      </w:r>
      <w:bookmarkEnd w:id="11"/>
    </w:p>
    <w:p w14:paraId="7003ACCE" w14:textId="2778C4F2" w:rsidR="00CE4EBB" w:rsidRPr="00985749" w:rsidRDefault="00CE4EBB" w:rsidP="00927476">
      <w:pPr>
        <w:pStyle w:val="proposal"/>
      </w:pPr>
      <w:bookmarkStart w:id="13" w:name="p4"/>
      <w:r w:rsidRPr="004F0B22">
        <w:t xml:space="preserve">Proposal </w:t>
      </w:r>
      <w:r w:rsidR="004A56F1" w:rsidRPr="004F0B22">
        <w:fldChar w:fldCharType="begin"/>
      </w:r>
      <w:r w:rsidR="004A56F1" w:rsidRPr="004F0B22">
        <w:instrText xml:space="preserve"> AUTONUMLGL  \* Arabic \e </w:instrText>
      </w:r>
      <w:r w:rsidR="004A56F1" w:rsidRPr="004F0B22">
        <w:fldChar w:fldCharType="end"/>
      </w:r>
      <w:r w:rsidRPr="004F0B22">
        <w:t xml:space="preserve">: </w:t>
      </w:r>
      <w:r>
        <w:t>The</w:t>
      </w:r>
      <w:r w:rsidRPr="004F0B22">
        <w:t xml:space="preserve"> UEs </w:t>
      </w:r>
      <w:r>
        <w:t>that support</w:t>
      </w:r>
      <w:r w:rsidRPr="004F0B22">
        <w:t xml:space="preserve"> mini-slot </w:t>
      </w:r>
      <w:r>
        <w:t xml:space="preserve">level PDCCH </w:t>
      </w:r>
      <w:r w:rsidRPr="004F0B22">
        <w:t>monitoring</w:t>
      </w:r>
      <w:r>
        <w:t>,</w:t>
      </w:r>
      <w:r w:rsidRPr="004F0B22">
        <w:t xml:space="preserve"> may </w:t>
      </w:r>
      <w:r>
        <w:t xml:space="preserve">be </w:t>
      </w:r>
      <w:r w:rsidRPr="004F0B22">
        <w:t>configure</w:t>
      </w:r>
      <w:r>
        <w:t xml:space="preserve">d </w:t>
      </w:r>
      <w:r w:rsidRPr="004F0B22">
        <w:t xml:space="preserve">with mini-slot based scheduling </w:t>
      </w:r>
      <w:r w:rsidR="00CD693A">
        <w:t xml:space="preserve">before and </w:t>
      </w:r>
      <w:r>
        <w:t xml:space="preserve">for </w:t>
      </w:r>
      <w:r w:rsidR="00985749">
        <w:t>an</w:t>
      </w:r>
      <w:r>
        <w:t xml:space="preserve"> initial duration </w:t>
      </w:r>
      <w:r w:rsidR="007C1774">
        <w:t>after</w:t>
      </w:r>
      <w:r>
        <w:t xml:space="preserve"> </w:t>
      </w:r>
      <w:r w:rsidR="007C1774">
        <w:t xml:space="preserve">the </w:t>
      </w:r>
      <w:r>
        <w:t>COT</w:t>
      </w:r>
      <w:r w:rsidR="007C1774">
        <w:t xml:space="preserve"> start</w:t>
      </w:r>
      <w:r>
        <w:t>,</w:t>
      </w:r>
      <w:r w:rsidRPr="004F0B22">
        <w:t xml:space="preserve"> and </w:t>
      </w:r>
      <w:r w:rsidR="00CD693A">
        <w:t xml:space="preserve">with </w:t>
      </w:r>
      <w:r w:rsidRPr="004F0B22">
        <w:t>slot</w:t>
      </w:r>
      <w:r w:rsidR="009123FE">
        <w:t>-</w:t>
      </w:r>
      <w:r w:rsidRPr="004F0B22">
        <w:t xml:space="preserve">based scheduling </w:t>
      </w:r>
      <w:r w:rsidR="007C1774">
        <w:t>for rest</w:t>
      </w:r>
      <w:r w:rsidRPr="004F0B22">
        <w:t xml:space="preserve"> </w:t>
      </w:r>
      <w:r>
        <w:t>of the COT</w:t>
      </w:r>
      <w:r w:rsidR="00985749">
        <w:t xml:space="preserve"> duration</w:t>
      </w:r>
      <w:r w:rsidRPr="004F0B22">
        <w:t xml:space="preserve">. </w:t>
      </w:r>
      <w:bookmarkEnd w:id="13"/>
    </w:p>
    <w:p w14:paraId="327B91DA" w14:textId="2822F2CE" w:rsidR="00927476" w:rsidRDefault="00927476" w:rsidP="00927476">
      <w:pPr>
        <w:pStyle w:val="proposal"/>
      </w:pPr>
      <w:bookmarkStart w:id="14" w:name="p5"/>
      <w:r>
        <w:t xml:space="preserve">Proposal </w:t>
      </w:r>
      <w:r w:rsidR="004A56F1" w:rsidRPr="004F0B22">
        <w:fldChar w:fldCharType="begin"/>
      </w:r>
      <w:r w:rsidR="004A56F1" w:rsidRPr="004F0B22">
        <w:instrText xml:space="preserve"> AUTONUMLGL  \* Arabic \e </w:instrText>
      </w:r>
      <w:r w:rsidR="004A56F1" w:rsidRPr="004F0B22">
        <w:fldChar w:fldCharType="end"/>
      </w:r>
      <w:r>
        <w:t xml:space="preserve">: </w:t>
      </w:r>
      <w:r w:rsidR="00CE4EBB">
        <w:t xml:space="preserve">A UE may be </w:t>
      </w:r>
      <w:r>
        <w:t xml:space="preserve">configured with different CORESET configuration </w:t>
      </w:r>
      <w:r w:rsidR="00CE4EBB">
        <w:t xml:space="preserve">for </w:t>
      </w:r>
      <w:r w:rsidR="007C1774">
        <w:t>an</w:t>
      </w:r>
      <w:r w:rsidR="00CE4EBB">
        <w:t xml:space="preserve"> initial </w:t>
      </w:r>
      <w:r w:rsidR="007C1774">
        <w:t>duration after COT start</w:t>
      </w:r>
      <w:r>
        <w:t xml:space="preserve"> </w:t>
      </w:r>
      <w:r w:rsidR="007C1774">
        <w:t xml:space="preserve">where </w:t>
      </w:r>
      <w:r>
        <w:t xml:space="preserve">mini-slot based scheduling </w:t>
      </w:r>
      <w:r w:rsidR="007C1774">
        <w:t xml:space="preserve">is applied, </w:t>
      </w:r>
      <w:r>
        <w:t xml:space="preserve">compared to the </w:t>
      </w:r>
      <w:r w:rsidR="007C1774">
        <w:t>CORESET configuration</w:t>
      </w:r>
      <w:r>
        <w:t xml:space="preserve"> </w:t>
      </w:r>
      <w:r w:rsidR="007C1774">
        <w:t xml:space="preserve">for the rest of the COT duration </w:t>
      </w:r>
      <w:r>
        <w:t>w</w:t>
      </w:r>
      <w:r w:rsidR="007C1774">
        <w:t>here</w:t>
      </w:r>
      <w:r>
        <w:t xml:space="preserve"> slot</w:t>
      </w:r>
      <w:r w:rsidR="009123FE">
        <w:t>-</w:t>
      </w:r>
      <w:bookmarkStart w:id="15" w:name="_GoBack"/>
      <w:bookmarkEnd w:id="15"/>
      <w:r>
        <w:t>based scheduling</w:t>
      </w:r>
      <w:r w:rsidR="007C1774">
        <w:t xml:space="preserve"> is applied</w:t>
      </w:r>
      <w:r>
        <w:t>.</w:t>
      </w:r>
      <w:bookmarkEnd w:id="14"/>
    </w:p>
    <w:p w14:paraId="78CCBF38" w14:textId="13374697" w:rsidR="00927476" w:rsidRDefault="00927476" w:rsidP="0016497F">
      <w:pPr>
        <w:tabs>
          <w:tab w:val="left" w:pos="630"/>
        </w:tabs>
        <w:rPr>
          <w:b/>
        </w:rPr>
      </w:pPr>
      <w:bookmarkStart w:id="16" w:name="p6"/>
      <w:r w:rsidRPr="00B00113">
        <w:rPr>
          <w:b/>
        </w:rPr>
        <w:t xml:space="preserve">Proposal </w:t>
      </w:r>
      <w:r w:rsidR="004A56F1">
        <w:rPr>
          <w:b/>
        </w:rPr>
        <w:fldChar w:fldCharType="begin"/>
      </w:r>
      <w:r w:rsidR="004A56F1">
        <w:rPr>
          <w:b/>
        </w:rPr>
        <w:instrText xml:space="preserve"> AUTONUMLGL  \* Arabic \e </w:instrText>
      </w:r>
      <w:r w:rsidR="004A56F1">
        <w:rPr>
          <w:b/>
        </w:rPr>
        <w:fldChar w:fldCharType="end"/>
      </w:r>
      <w:r w:rsidRPr="00B00113">
        <w:rPr>
          <w:b/>
        </w:rPr>
        <w:t xml:space="preserve">: </w:t>
      </w:r>
      <w:r w:rsidR="005F22EB">
        <w:rPr>
          <w:b/>
        </w:rPr>
        <w:t xml:space="preserve">The </w:t>
      </w:r>
      <w:r w:rsidR="000C43FD">
        <w:rPr>
          <w:b/>
        </w:rPr>
        <w:t xml:space="preserve">frequency resources </w:t>
      </w:r>
      <w:r w:rsidR="005F22EB">
        <w:rPr>
          <w:b/>
        </w:rPr>
        <w:t>UE monitor</w:t>
      </w:r>
      <w:r w:rsidR="000C43FD">
        <w:rPr>
          <w:b/>
        </w:rPr>
        <w:t>s for</w:t>
      </w:r>
      <w:r w:rsidR="005F22EB">
        <w:rPr>
          <w:b/>
        </w:rPr>
        <w:t xml:space="preserve"> PDCCH </w:t>
      </w:r>
      <w:r w:rsidR="000C43FD">
        <w:rPr>
          <w:b/>
        </w:rPr>
        <w:t>may change dynamically</w:t>
      </w:r>
      <w:r w:rsidR="00CD693A">
        <w:rPr>
          <w:b/>
        </w:rPr>
        <w:t>, e.g., based on explicit signalling or determined implicitly through the gNB COT start detection</w:t>
      </w:r>
      <w:r w:rsidR="005F22EB">
        <w:rPr>
          <w:b/>
        </w:rPr>
        <w:t>.</w:t>
      </w:r>
      <w:r w:rsidR="000C43FD">
        <w:rPr>
          <w:b/>
        </w:rPr>
        <w:t xml:space="preserve"> </w:t>
      </w:r>
      <w:bookmarkEnd w:id="12"/>
      <w:bookmarkEnd w:id="16"/>
    </w:p>
    <w:p w14:paraId="3AD68A82" w14:textId="3EA9EFC7" w:rsidR="003E1EC5" w:rsidRDefault="003E1EC5" w:rsidP="000A767B">
      <w:bookmarkStart w:id="17" w:name="_Hlk534921683"/>
      <w:r>
        <w:t xml:space="preserve">In case the UE </w:t>
      </w:r>
      <w:proofErr w:type="gramStart"/>
      <w:r>
        <w:t>misses</w:t>
      </w:r>
      <w:proofErr w:type="gramEnd"/>
      <w:r>
        <w:t xml:space="preserve"> detection of the initial mini-slot level PDCCH, there should be a way to recover after the slot boundary where slot level PDCCH starts. One way to achieve this is the following</w:t>
      </w:r>
      <w:r w:rsidR="00F101D7">
        <w:t xml:space="preserve"> (</w:t>
      </w:r>
      <w:r w:rsidR="00F101D7">
        <w:fldChar w:fldCharType="begin"/>
      </w:r>
      <w:r w:rsidR="00F101D7">
        <w:instrText xml:space="preserve"> REF _Ref534920975 \h </w:instrText>
      </w:r>
      <w:r w:rsidR="00F101D7">
        <w:fldChar w:fldCharType="separate"/>
      </w:r>
      <w:r w:rsidR="0053343D">
        <w:t xml:space="preserve">Figure </w:t>
      </w:r>
      <w:r w:rsidR="0053343D">
        <w:rPr>
          <w:noProof/>
        </w:rPr>
        <w:t>3</w:t>
      </w:r>
      <w:r w:rsidR="00F101D7">
        <w:fldChar w:fldCharType="end"/>
      </w:r>
      <w:r w:rsidR="00F101D7">
        <w:t>)</w:t>
      </w:r>
      <w:r>
        <w:t xml:space="preserve">. There is </w:t>
      </w:r>
      <w:r w:rsidR="00801CB1">
        <w:t>one</w:t>
      </w:r>
      <w:r>
        <w:t xml:space="preserve"> set of decoding candidates</w:t>
      </w:r>
      <w:r w:rsidR="00801CB1">
        <w:t xml:space="preserve"> (</w:t>
      </w:r>
      <w:r>
        <w:t>set A</w:t>
      </w:r>
      <w:r w:rsidR="00801CB1">
        <w:t xml:space="preserve"> for example)</w:t>
      </w:r>
      <w:r>
        <w:t xml:space="preserve">, </w:t>
      </w:r>
      <w:r w:rsidR="00801CB1">
        <w:t xml:space="preserve">that is common between </w:t>
      </w:r>
      <w:r w:rsidR="00023474">
        <w:t>before and after</w:t>
      </w:r>
      <w:r w:rsidR="00801CB1">
        <w:t xml:space="preserve"> the COT</w:t>
      </w:r>
      <w:r w:rsidR="00023474">
        <w:t xml:space="preserve"> start</w:t>
      </w:r>
      <w:r w:rsidR="00801CB1">
        <w:t>. This is in a CORESET</w:t>
      </w:r>
      <w:r w:rsidR="00023474">
        <w:t xml:space="preserve"> which is at the start of a slot (slot level granularity). There is another set of decoding candidates (set B), that is different for the monitoring occasions before and after the COT start. </w:t>
      </w:r>
      <w:r w:rsidR="0046719B">
        <w:t>S</w:t>
      </w:r>
      <w:r w:rsidR="00023474">
        <w:t>et B for monitoring occasions before</w:t>
      </w:r>
      <w:r w:rsidR="0046719B">
        <w:t xml:space="preserve"> the COT start (say B2) </w:t>
      </w:r>
      <w:r w:rsidR="00023474">
        <w:t>and after the COT start</w:t>
      </w:r>
      <w:r w:rsidR="0046719B">
        <w:t xml:space="preserve"> (say B1)</w:t>
      </w:r>
      <w:r w:rsidR="00023474">
        <w:t xml:space="preserve"> </w:t>
      </w:r>
      <w:r w:rsidR="0046719B">
        <w:t xml:space="preserve">may be of different size. The set B1 is hashed in coreset(s) at the start of a slot (slot level granularity), and the set B2 is hashed in mini-slot coreset(s). </w:t>
      </w:r>
      <w:r w:rsidR="00F101D7">
        <w:t xml:space="preserve">The coreset(s) for A and B1 can be the same. </w:t>
      </w:r>
      <w:r w:rsidR="00CB644C">
        <w:t xml:space="preserve">A UE monitors for PDCCH candidates (set A, set B2) before the COT start and (set A, set B1) after the COT start. The total </w:t>
      </w:r>
      <w:r w:rsidR="00F101D7">
        <w:t>search candidates before and after the COT start is within the UE blind decode capability.</w:t>
      </w:r>
      <w:bookmarkEnd w:id="17"/>
    </w:p>
    <w:p w14:paraId="2BD5DB8E" w14:textId="564C10AA" w:rsidR="00CB644C" w:rsidRDefault="001D7051" w:rsidP="000A767B">
      <w:bookmarkStart w:id="18" w:name="_Hlk534921776"/>
      <w:r>
        <w:t xml:space="preserve">Note: </w:t>
      </w:r>
      <w:r w:rsidR="0046418C">
        <w:t>T</w:t>
      </w:r>
      <w:r>
        <w:t>he</w:t>
      </w:r>
      <w:r w:rsidR="00F101D7">
        <w:t xml:space="preserve"> </w:t>
      </w:r>
      <w:r w:rsidR="008E1F9A">
        <w:t>trigger</w:t>
      </w:r>
      <w:r>
        <w:t xml:space="preserve"> </w:t>
      </w:r>
      <w:r w:rsidR="008E1F9A">
        <w:t xml:space="preserve">for UE </w:t>
      </w:r>
      <w:r>
        <w:t xml:space="preserve">to switch </w:t>
      </w:r>
      <w:r w:rsidR="00F101D7">
        <w:t xml:space="preserve">the PDCCH monitoring pattern (example: A,B2 vs A,B1) </w:t>
      </w:r>
      <w:r>
        <w:t xml:space="preserve">may be </w:t>
      </w:r>
      <w:r w:rsidR="008E1F9A">
        <w:t xml:space="preserve">an </w:t>
      </w:r>
      <w:r>
        <w:t xml:space="preserve">explicit </w:t>
      </w:r>
      <w:r w:rsidR="008E1F9A">
        <w:t xml:space="preserve">(for example, a bit field in DCI) </w:t>
      </w:r>
      <w:r>
        <w:t xml:space="preserve">or implicit </w:t>
      </w:r>
      <w:r w:rsidR="00F101D7">
        <w:t>(</w:t>
      </w:r>
      <w:r w:rsidR="008E1F9A">
        <w:t xml:space="preserve">for example, the </w:t>
      </w:r>
      <w:r w:rsidR="00F101D7">
        <w:t xml:space="preserve">COT start detection) </w:t>
      </w:r>
      <w:r>
        <w:t>indication as discussed below.</w:t>
      </w:r>
    </w:p>
    <w:bookmarkEnd w:id="18"/>
    <w:p w14:paraId="150C9D2D" w14:textId="3F2834E8" w:rsidR="000A767B" w:rsidRDefault="000A767B" w:rsidP="000A767B"/>
    <w:p w14:paraId="1FF68863" w14:textId="77777777" w:rsidR="000A767B" w:rsidRDefault="000A767B" w:rsidP="000A767B"/>
    <w:p w14:paraId="6BE23651" w14:textId="77777777" w:rsidR="00CB644C" w:rsidRDefault="000A767B" w:rsidP="004F0B22">
      <w:pPr>
        <w:pStyle w:val="Caption"/>
        <w:keepNext/>
      </w:pPr>
      <w:r>
        <w:object w:dxaOrig="12788" w:dyaOrig="2446" w14:anchorId="1F9E4011">
          <v:shape id="_x0000_i1027" type="#_x0000_t75" style="width:468pt;height:89.5pt" o:ole="">
            <v:imagedata r:id="rId17" o:title=""/>
          </v:shape>
          <o:OLEObject Type="Embed" ProgID="Visio.Drawing.11" ShapeID="_x0000_i1027" DrawAspect="Content" ObjectID="_1608751018" r:id="rId18"/>
        </w:object>
      </w:r>
    </w:p>
    <w:p w14:paraId="4FDB0AEA" w14:textId="742FDEE2" w:rsidR="000A767B" w:rsidRDefault="00CB644C" w:rsidP="004F0B22">
      <w:pPr>
        <w:pStyle w:val="Caption"/>
        <w:jc w:val="center"/>
      </w:pPr>
      <w:bookmarkStart w:id="19" w:name="_Ref534920975"/>
      <w:r>
        <w:t xml:space="preserve">Figure </w:t>
      </w:r>
      <w:r>
        <w:fldChar w:fldCharType="begin"/>
      </w:r>
      <w:r>
        <w:instrText xml:space="preserve"> SEQ Figure \* ARABIC </w:instrText>
      </w:r>
      <w:r>
        <w:fldChar w:fldCharType="separate"/>
      </w:r>
      <w:r w:rsidR="0053343D">
        <w:rPr>
          <w:noProof/>
        </w:rPr>
        <w:t>3</w:t>
      </w:r>
      <w:r>
        <w:fldChar w:fldCharType="end"/>
      </w:r>
      <w:bookmarkEnd w:id="19"/>
      <w:r>
        <w:t>: Nested PDCCH structure</w:t>
      </w:r>
    </w:p>
    <w:p w14:paraId="129D67D3" w14:textId="5E96EFC9" w:rsidR="00E86BF9" w:rsidRPr="004F0B22" w:rsidRDefault="00E86BF9" w:rsidP="0044242B">
      <w:pPr>
        <w:rPr>
          <w:b/>
        </w:rPr>
      </w:pPr>
      <w:bookmarkStart w:id="20" w:name="p7"/>
      <w:r w:rsidRPr="004F0B22">
        <w:rPr>
          <w:b/>
        </w:rPr>
        <w:t>Proposal</w:t>
      </w:r>
      <w:r w:rsidR="004A56F1">
        <w:rPr>
          <w:b/>
        </w:rPr>
        <w:t xml:space="preserve"> </w:t>
      </w:r>
      <w:r w:rsidR="004A56F1" w:rsidRPr="008C5EF0">
        <w:rPr>
          <w:b/>
        </w:rPr>
        <w:fldChar w:fldCharType="begin"/>
      </w:r>
      <w:r w:rsidR="004A56F1" w:rsidRPr="008C5EF0">
        <w:rPr>
          <w:b/>
        </w:rPr>
        <w:instrText xml:space="preserve"> AUTONUMLGL  \* Arabic \e </w:instrText>
      </w:r>
      <w:r w:rsidR="004A56F1" w:rsidRPr="008C5EF0">
        <w:rPr>
          <w:b/>
        </w:rPr>
        <w:fldChar w:fldCharType="end"/>
      </w:r>
      <w:r w:rsidRPr="004F0B22">
        <w:rPr>
          <w:b/>
        </w:rPr>
        <w:t xml:space="preserve">: In case the PDCCH monitoring configuration is changed </w:t>
      </w:r>
      <w:r w:rsidR="008E1F9A">
        <w:rPr>
          <w:b/>
        </w:rPr>
        <w:t xml:space="preserve">dynamically </w:t>
      </w:r>
      <w:r w:rsidRPr="004F0B22">
        <w:rPr>
          <w:b/>
        </w:rPr>
        <w:t>based on COT, there should at least be a set of common PDCCH search space candidates in the PDCCH search space inside and outside the COT to enable UE to recover from missed detection of COT start</w:t>
      </w:r>
    </w:p>
    <w:bookmarkEnd w:id="20"/>
    <w:p w14:paraId="1D71D01E" w14:textId="5F79C7BD" w:rsidR="00D74522" w:rsidRDefault="00927476" w:rsidP="004F0B22">
      <w:pPr>
        <w:pStyle w:val="Heading2"/>
      </w:pPr>
      <w:r>
        <w:t xml:space="preserve">5.1 </w:t>
      </w:r>
      <w:r w:rsidR="00EE25F9">
        <w:t xml:space="preserve">Trigger </w:t>
      </w:r>
      <w:r w:rsidR="00BB1373">
        <w:t xml:space="preserve">to </w:t>
      </w:r>
      <w:r w:rsidR="00EE25F9">
        <w:t>i</w:t>
      </w:r>
      <w:r>
        <w:t>ndicat</w:t>
      </w:r>
      <w:r w:rsidR="00BB1373">
        <w:t>e</w:t>
      </w:r>
      <w:r>
        <w:t xml:space="preserve"> the UE to switch PDCCH monitoring</w:t>
      </w:r>
    </w:p>
    <w:p w14:paraId="52BB7379" w14:textId="4A9BB8E4" w:rsidR="00983947" w:rsidRDefault="00401C23" w:rsidP="004F0B22">
      <w:r>
        <w:t xml:space="preserve">The UE can switch </w:t>
      </w:r>
      <w:r w:rsidR="00983947">
        <w:t xml:space="preserve">monitoring </w:t>
      </w:r>
      <w:r>
        <w:t xml:space="preserve">between </w:t>
      </w:r>
      <w:r w:rsidR="00983947">
        <w:t>the candidate</w:t>
      </w:r>
      <w:r w:rsidR="008E1F9A">
        <w:t xml:space="preserve"> sets</w:t>
      </w:r>
      <w:r w:rsidR="00983947">
        <w:t xml:space="preserve"> </w:t>
      </w:r>
      <w:r w:rsidR="008E1F9A">
        <w:t xml:space="preserve">before and after COT start, </w:t>
      </w:r>
      <w:r w:rsidR="00983947">
        <w:t>based on one of the following triggers:</w:t>
      </w:r>
    </w:p>
    <w:p w14:paraId="4C8AFDCB" w14:textId="4B1043ED" w:rsidR="00F10E2C" w:rsidRDefault="00F10E2C" w:rsidP="00F10E2C">
      <w:pPr>
        <w:pStyle w:val="ListParagraph"/>
        <w:numPr>
          <w:ilvl w:val="0"/>
          <w:numId w:val="40"/>
        </w:numPr>
      </w:pPr>
      <w:r>
        <w:t xml:space="preserve">Implicitly based on detection of </w:t>
      </w:r>
      <w:r w:rsidR="008E1F9A">
        <w:t>COT</w:t>
      </w:r>
      <w:r w:rsidR="00C24399">
        <w:t xml:space="preserve"> start</w:t>
      </w:r>
      <w:r>
        <w:t xml:space="preserve"> and </w:t>
      </w:r>
      <w:r w:rsidR="00983947">
        <w:t xml:space="preserve">the next </w:t>
      </w:r>
      <w:r>
        <w:t>slot boundary</w:t>
      </w:r>
      <w:r w:rsidR="00C24399">
        <w:t>.</w:t>
      </w:r>
    </w:p>
    <w:p w14:paraId="50BEA699" w14:textId="76429C69" w:rsidR="00983947" w:rsidRDefault="00983947" w:rsidP="008871CD">
      <w:pPr>
        <w:pStyle w:val="ListParagraph"/>
        <w:numPr>
          <w:ilvl w:val="0"/>
          <w:numId w:val="40"/>
        </w:numPr>
      </w:pPr>
      <w:r>
        <w:t xml:space="preserve">Explicit indication </w:t>
      </w:r>
      <w:r w:rsidR="00AF3249">
        <w:t xml:space="preserve">to switch </w:t>
      </w:r>
      <w:r>
        <w:t>in a common or UE specific PDCCH.</w:t>
      </w:r>
    </w:p>
    <w:p w14:paraId="6B409B78" w14:textId="18DFAD3A" w:rsidR="00F10E2C" w:rsidRDefault="00F10E2C" w:rsidP="00F10E2C">
      <w:pPr>
        <w:pStyle w:val="ListParagraph"/>
        <w:numPr>
          <w:ilvl w:val="0"/>
          <w:numId w:val="40"/>
        </w:numPr>
      </w:pPr>
      <w:r>
        <w:t>Implicitly based on past traffic pattern.</w:t>
      </w:r>
      <w:r w:rsidR="00983947">
        <w:t xml:space="preserve"> For example, the UE can monitor </w:t>
      </w:r>
      <w:r w:rsidR="00CE550B">
        <w:t xml:space="preserve">the </w:t>
      </w:r>
      <w:r w:rsidR="00983947">
        <w:t xml:space="preserve">mini-slot level PDCCH candidate only if it was scheduled </w:t>
      </w:r>
      <w:r w:rsidR="00CA7A38">
        <w:t xml:space="preserve">in the past </w:t>
      </w:r>
      <w:r w:rsidR="00983947">
        <w:t>within a specified time window.</w:t>
      </w:r>
    </w:p>
    <w:p w14:paraId="2CC03B89" w14:textId="5D058ACC" w:rsidR="00CE550B" w:rsidRDefault="00F10E2C" w:rsidP="005936B0">
      <w:pPr>
        <w:pStyle w:val="ListParagraph"/>
        <w:numPr>
          <w:ilvl w:val="0"/>
          <w:numId w:val="40"/>
        </w:numPr>
      </w:pPr>
      <w:r>
        <w:t xml:space="preserve">In NSA case, the licensed carrier may explicitly trigger one of the two </w:t>
      </w:r>
      <w:r w:rsidR="00EE25F9">
        <w:t xml:space="preserve">PDCCH </w:t>
      </w:r>
      <w:r w:rsidR="00781747">
        <w:t>configurations</w:t>
      </w:r>
      <w:r w:rsidR="00EE25F9">
        <w:t xml:space="preserve"> for UE monitoring</w:t>
      </w:r>
      <w:r>
        <w:t xml:space="preserve">. This way the gNB may selectively choose </w:t>
      </w:r>
      <w:r w:rsidR="00EE25F9">
        <w:t xml:space="preserve">only </w:t>
      </w:r>
      <w:r>
        <w:t xml:space="preserve">UEs which have traffic to switch to mini-slot level </w:t>
      </w:r>
      <w:r w:rsidR="00EE25F9">
        <w:t>monitoring</w:t>
      </w:r>
      <w:r w:rsidR="00221054">
        <w:t>.</w:t>
      </w:r>
    </w:p>
    <w:p w14:paraId="7F7D818F" w14:textId="38AA90B9" w:rsidR="00CE550B" w:rsidRDefault="00CE550B" w:rsidP="00221054">
      <w:pPr>
        <w:rPr>
          <w:b/>
        </w:rPr>
      </w:pPr>
      <w:bookmarkStart w:id="21" w:name="p8"/>
      <w:r>
        <w:rPr>
          <w:b/>
        </w:rPr>
        <w:t xml:space="preserve">Proposal </w:t>
      </w:r>
      <w:r w:rsidR="004A56F1">
        <w:rPr>
          <w:b/>
        </w:rPr>
        <w:fldChar w:fldCharType="begin"/>
      </w:r>
      <w:r w:rsidR="004A56F1">
        <w:rPr>
          <w:b/>
        </w:rPr>
        <w:instrText xml:space="preserve"> AUTONUMLGL  \* Arabic \e </w:instrText>
      </w:r>
      <w:r w:rsidR="004A56F1">
        <w:rPr>
          <w:b/>
        </w:rPr>
        <w:fldChar w:fldCharType="end"/>
      </w:r>
      <w:r>
        <w:rPr>
          <w:b/>
        </w:rPr>
        <w:t>: The UE can switch PDCCH monitoring pattern dynamically based on any one of the following triggers:</w:t>
      </w:r>
    </w:p>
    <w:p w14:paraId="0D13102F" w14:textId="5B89C2BA" w:rsidR="00CE550B" w:rsidRDefault="00CE550B" w:rsidP="004F0B22">
      <w:pPr>
        <w:pStyle w:val="ListParagraph"/>
        <w:numPr>
          <w:ilvl w:val="0"/>
          <w:numId w:val="21"/>
        </w:numPr>
        <w:rPr>
          <w:b/>
        </w:rPr>
      </w:pPr>
      <w:r>
        <w:rPr>
          <w:b/>
        </w:rPr>
        <w:t xml:space="preserve">Implicitly based on </w:t>
      </w:r>
      <w:r w:rsidR="00877671">
        <w:rPr>
          <w:b/>
        </w:rPr>
        <w:t xml:space="preserve">COT </w:t>
      </w:r>
      <w:r>
        <w:rPr>
          <w:b/>
        </w:rPr>
        <w:t>start detection and the slot boundary</w:t>
      </w:r>
    </w:p>
    <w:p w14:paraId="186F69D1" w14:textId="6094224A" w:rsidR="00CE550B" w:rsidRDefault="00CE550B" w:rsidP="004F0B22">
      <w:pPr>
        <w:pStyle w:val="ListParagraph"/>
        <w:numPr>
          <w:ilvl w:val="0"/>
          <w:numId w:val="21"/>
        </w:numPr>
        <w:rPr>
          <w:b/>
        </w:rPr>
      </w:pPr>
      <w:r>
        <w:rPr>
          <w:b/>
        </w:rPr>
        <w:t>Implicitly based on whether it was scheduled within a specific time window</w:t>
      </w:r>
    </w:p>
    <w:p w14:paraId="21C74AAD" w14:textId="5495F89C" w:rsidR="00CE550B" w:rsidRPr="004F0B22" w:rsidRDefault="00CE550B" w:rsidP="004F0B22">
      <w:pPr>
        <w:pStyle w:val="ListParagraph"/>
        <w:numPr>
          <w:ilvl w:val="0"/>
          <w:numId w:val="21"/>
        </w:numPr>
        <w:rPr>
          <w:b/>
        </w:rPr>
      </w:pPr>
      <w:r>
        <w:rPr>
          <w:b/>
        </w:rPr>
        <w:t>Explicit indication in the common or UE specific PDCCH</w:t>
      </w:r>
    </w:p>
    <w:p w14:paraId="5147B423" w14:textId="3560166B" w:rsidR="00EE25F9" w:rsidRDefault="00EE25F9" w:rsidP="0044242B">
      <w:pPr>
        <w:rPr>
          <w:b/>
        </w:rPr>
      </w:pPr>
      <w:bookmarkStart w:id="22" w:name="p9"/>
      <w:bookmarkEnd w:id="21"/>
      <w:r>
        <w:rPr>
          <w:b/>
        </w:rPr>
        <w:t xml:space="preserve">Proposal </w:t>
      </w:r>
      <w:r w:rsidR="004A56F1">
        <w:rPr>
          <w:b/>
        </w:rPr>
        <w:fldChar w:fldCharType="begin"/>
      </w:r>
      <w:r w:rsidR="004A56F1">
        <w:rPr>
          <w:b/>
        </w:rPr>
        <w:instrText xml:space="preserve"> AUTONUMLGL  \* Arabic \e </w:instrText>
      </w:r>
      <w:r w:rsidR="004A56F1">
        <w:rPr>
          <w:b/>
        </w:rPr>
        <w:fldChar w:fldCharType="end"/>
      </w:r>
      <w:r>
        <w:rPr>
          <w:b/>
        </w:rPr>
        <w:t xml:space="preserve">: </w:t>
      </w:r>
      <w:r w:rsidR="00CE550B">
        <w:rPr>
          <w:b/>
        </w:rPr>
        <w:t xml:space="preserve">In NSA mode of operation, gNB can explicitly </w:t>
      </w:r>
      <w:r w:rsidR="006F4DF3">
        <w:rPr>
          <w:b/>
        </w:rPr>
        <w:t xml:space="preserve">indicate/trigger </w:t>
      </w:r>
      <w:r>
        <w:rPr>
          <w:b/>
        </w:rPr>
        <w:t xml:space="preserve">PDCCH monitoring </w:t>
      </w:r>
      <w:r w:rsidR="001F492D">
        <w:rPr>
          <w:b/>
        </w:rPr>
        <w:t xml:space="preserve">switch </w:t>
      </w:r>
      <w:r w:rsidR="006F4DF3">
        <w:rPr>
          <w:b/>
        </w:rPr>
        <w:t>for</w:t>
      </w:r>
      <w:r>
        <w:rPr>
          <w:b/>
        </w:rPr>
        <w:t xml:space="preserve"> the unlicensed carrier, using the licensed carrier.</w:t>
      </w:r>
    </w:p>
    <w:bookmarkEnd w:id="22"/>
    <w:p w14:paraId="64D71597" w14:textId="6DDE8010" w:rsidR="00EC0E8F" w:rsidRDefault="00F258F5" w:rsidP="004F0B22">
      <w:pPr>
        <w:pStyle w:val="Heading1"/>
      </w:pPr>
      <w:r w:rsidRPr="0008322E">
        <w:t xml:space="preserve">PDSCH </w:t>
      </w:r>
      <w:r w:rsidR="0064624A" w:rsidRPr="0008322E">
        <w:t>transmission</w:t>
      </w:r>
    </w:p>
    <w:p w14:paraId="13317752" w14:textId="77777777" w:rsidR="00EF7BF6" w:rsidRDefault="00EF7BF6" w:rsidP="00EF7BF6">
      <w:pPr>
        <w:tabs>
          <w:tab w:val="left" w:pos="630"/>
        </w:tabs>
      </w:pPr>
      <w:r>
        <w:t>The previous RAN1#92bis to RAN1#95 agreements contains the following with respect to PDSCH transmission</w:t>
      </w:r>
    </w:p>
    <w:p w14:paraId="6BBB3F61" w14:textId="77777777" w:rsidR="00EF7BF6" w:rsidRPr="0040032E" w:rsidRDefault="00EF7BF6" w:rsidP="00EF7BF6">
      <w:pPr>
        <w:numPr>
          <w:ilvl w:val="0"/>
          <w:numId w:val="23"/>
        </w:numPr>
        <w:wordWrap/>
        <w:overflowPunct/>
        <w:autoSpaceDE/>
        <w:autoSpaceDN/>
        <w:adjustRightInd/>
        <w:spacing w:after="0"/>
        <w:textAlignment w:val="auto"/>
      </w:pPr>
      <w:r w:rsidRPr="0040032E">
        <w:t xml:space="preserve">NR-U supports both Type-A and Type-B mapping already supported in NR </w:t>
      </w:r>
    </w:p>
    <w:p w14:paraId="097B6E18" w14:textId="77777777" w:rsidR="00EF7BF6" w:rsidRDefault="00EF7BF6" w:rsidP="00EF7BF6">
      <w:pPr>
        <w:pStyle w:val="ListParagraph"/>
        <w:widowControl w:val="0"/>
        <w:numPr>
          <w:ilvl w:val="1"/>
          <w:numId w:val="23"/>
        </w:numPr>
        <w:wordWrap w:val="0"/>
        <w:autoSpaceDE w:val="0"/>
        <w:autoSpaceDN w:val="0"/>
        <w:contextualSpacing/>
        <w:jc w:val="both"/>
      </w:pPr>
      <w:r w:rsidRPr="0040032E">
        <w:t>Additional starting positions and durations are not precluded</w:t>
      </w:r>
    </w:p>
    <w:p w14:paraId="5F3B39F3" w14:textId="77777777" w:rsidR="00EF7BF6" w:rsidRPr="00F8393A" w:rsidRDefault="00EF7BF6" w:rsidP="00EF7BF6">
      <w:pPr>
        <w:pStyle w:val="ListParagraph"/>
        <w:numPr>
          <w:ilvl w:val="0"/>
          <w:numId w:val="23"/>
        </w:numPr>
        <w:rPr>
          <w:snapToGrid/>
          <w:szCs w:val="24"/>
          <w:lang w:eastAsia="x-none"/>
        </w:rPr>
      </w:pPr>
      <w:r>
        <w:rPr>
          <w:lang w:eastAsia="x-none"/>
        </w:rPr>
        <w:t>The following options have been identified as possible candidates for PDSCH transmission in the partial slot at least for the first PDSCH(s) transmitted in the DL transmission burst.</w:t>
      </w:r>
    </w:p>
    <w:p w14:paraId="7E2B180F"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1: PDSCH(s) as in Rel-15 NR</w:t>
      </w:r>
    </w:p>
    <w:p w14:paraId="5646F028"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2: Punctured PDSCH depending on LBT outcome</w:t>
      </w:r>
    </w:p>
    <w:p w14:paraId="7A782058"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3: PDSCH mapping type B with durations other than 2/4/7 symbols</w:t>
      </w:r>
    </w:p>
    <w:p w14:paraId="6D7DCCCC"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Option 4: PDSCH across slot boundary</w:t>
      </w:r>
    </w:p>
    <w:p w14:paraId="0E269FA1"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FFS for signalling details, specification impact, implementation complexity</w:t>
      </w:r>
    </w:p>
    <w:p w14:paraId="7AC69E27" w14:textId="77777777" w:rsidR="00EF7BF6" w:rsidRDefault="00EF7BF6" w:rsidP="00EF7BF6">
      <w:pPr>
        <w:widowControl/>
        <w:numPr>
          <w:ilvl w:val="1"/>
          <w:numId w:val="23"/>
        </w:numPr>
        <w:wordWrap/>
        <w:overflowPunct/>
        <w:autoSpaceDE/>
        <w:autoSpaceDN/>
        <w:adjustRightInd/>
        <w:spacing w:after="0"/>
        <w:jc w:val="left"/>
        <w:textAlignment w:val="auto"/>
        <w:rPr>
          <w:lang w:eastAsia="x-none"/>
        </w:rPr>
      </w:pPr>
      <w:r>
        <w:rPr>
          <w:lang w:eastAsia="x-none"/>
        </w:rPr>
        <w:t>Note: Above options are not mutually exclusive.</w:t>
      </w:r>
    </w:p>
    <w:p w14:paraId="0ED575B2" w14:textId="2E10EB55" w:rsidR="00383CF0" w:rsidRDefault="00383CF0" w:rsidP="004F0B22">
      <w:pPr>
        <w:widowControl/>
        <w:numPr>
          <w:ilvl w:val="0"/>
          <w:numId w:val="23"/>
        </w:numPr>
        <w:wordWrap/>
        <w:overflowPunct/>
        <w:autoSpaceDE/>
        <w:autoSpaceDN/>
        <w:adjustRightInd/>
        <w:spacing w:after="0"/>
        <w:jc w:val="left"/>
        <w:textAlignment w:val="auto"/>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6C16108C" w14:textId="12203BC7" w:rsidR="00190501" w:rsidRDefault="00190501" w:rsidP="0053343D">
      <w:r>
        <w:t xml:space="preserve">An alternative approach to support more flexible </w:t>
      </w:r>
      <w:r w:rsidR="008E1F9A">
        <w:t xml:space="preserve">COT </w:t>
      </w:r>
      <w:r>
        <w:t>starting point is to use puncturing based PDSCH transmission</w:t>
      </w:r>
      <w:r w:rsidR="00EF7BF6">
        <w:t xml:space="preserve"> </w:t>
      </w:r>
      <w:r w:rsidR="00B00394">
        <w:t>(</w:t>
      </w:r>
      <w:r w:rsidR="0040345F">
        <w:t>option 2</w:t>
      </w:r>
      <w:r w:rsidR="00B00394">
        <w:t>)</w:t>
      </w:r>
      <w:r>
        <w:t>. The puncturing based flexible starting point was introduced for PUSCH transmission in LTE-LAA. The technique was not applied for DL mainly because LTE sub</w:t>
      </w:r>
      <w:r w:rsidR="00C96791">
        <w:t>-</w:t>
      </w:r>
      <w:r>
        <w:t xml:space="preserve">frame starts from control region, and when control region is punctured, the PDSCH grant cannot be detected. For NR, more flexibility was introduced in scheduling and we can </w:t>
      </w:r>
      <w:r>
        <w:lastRenderedPageBreak/>
        <w:t xml:space="preserve">study if there are ways to support PDSCH puncturing based flexible </w:t>
      </w:r>
      <w:r w:rsidR="006F7F84">
        <w:t xml:space="preserve">COT </w:t>
      </w:r>
      <w:r>
        <w:t xml:space="preserve">starting point as well. </w:t>
      </w:r>
    </w:p>
    <w:p w14:paraId="176666AE" w14:textId="173F6E36" w:rsidR="00142F78" w:rsidRDefault="0040345F" w:rsidP="00F55ADB">
      <w:pPr>
        <w:tabs>
          <w:tab w:val="left" w:pos="630"/>
        </w:tabs>
      </w:pPr>
      <w:r>
        <w:rPr>
          <w:kern w:val="0"/>
          <w:szCs w:val="20"/>
        </w:rPr>
        <w:t>In addition to UE monitoring complexity</w:t>
      </w:r>
      <w:r w:rsidR="00056E51" w:rsidRPr="00DF0720">
        <w:rPr>
          <w:kern w:val="0"/>
          <w:szCs w:val="20"/>
        </w:rPr>
        <w:t xml:space="preserve"> </w:t>
      </w:r>
      <w:r>
        <w:rPr>
          <w:kern w:val="0"/>
          <w:szCs w:val="20"/>
        </w:rPr>
        <w:t xml:space="preserve">increase, another </w:t>
      </w:r>
      <w:r w:rsidR="00056E51" w:rsidRPr="00DF0720">
        <w:rPr>
          <w:kern w:val="0"/>
          <w:szCs w:val="20"/>
        </w:rPr>
        <w:t xml:space="preserve">challenge with </w:t>
      </w:r>
      <w:r w:rsidR="00056E51">
        <w:rPr>
          <w:kern w:val="0"/>
          <w:szCs w:val="20"/>
        </w:rPr>
        <w:t>option 3</w:t>
      </w:r>
      <w:r w:rsidR="00056E51" w:rsidRPr="00DF0720">
        <w:rPr>
          <w:kern w:val="0"/>
          <w:szCs w:val="20"/>
        </w:rPr>
        <w:t xml:space="preserve"> is that the gNB or UE (in case of UL allocation with multiple starting position options) doesn’t know beforehand if it has a full slot available or a partial slot / mini-slot as that depends on when the LBT passes.</w:t>
      </w:r>
      <w:r w:rsidR="00056E51">
        <w:rPr>
          <w:kern w:val="0"/>
          <w:szCs w:val="20"/>
        </w:rPr>
        <w:t xml:space="preserve"> </w:t>
      </w:r>
      <w:r w:rsidR="00056E51">
        <w:t>Option 2 allows the UE/gNB to prepare packets for a larger number of symbols (e.g. the full slot) and puncture some symbols to fit into the available portion of the slot which can be done much more easily. With CBG based HARQ operation the impact of the puncturing can be contained. We hence prefer option 1 and option 2.</w:t>
      </w:r>
      <w:r w:rsidR="00DE08F8">
        <w:t xml:space="preserve"> Again, f</w:t>
      </w:r>
      <w:r w:rsidR="00142F78">
        <w:t xml:space="preserve">or option 2 </w:t>
      </w:r>
      <w:r w:rsidR="00DE08F8">
        <w:t xml:space="preserve">it would help if </w:t>
      </w:r>
      <w:r w:rsidR="00142F78">
        <w:t>the DL grant support</w:t>
      </w:r>
      <w:r w:rsidR="00DE08F8">
        <w:t>s</w:t>
      </w:r>
      <w:r w:rsidR="00142F78">
        <w:t xml:space="preserve"> any start symbol, any length within the slot and the puncturing and/or rate-matching indication.</w:t>
      </w:r>
    </w:p>
    <w:p w14:paraId="369EDBDC" w14:textId="77777777" w:rsidR="006F7F84" w:rsidRDefault="002311F8" w:rsidP="00EC65CA">
      <w:pPr>
        <w:pStyle w:val="Caption"/>
      </w:pPr>
      <w:r>
        <w:object w:dxaOrig="9485" w:dyaOrig="2801" w14:anchorId="02B20AB6">
          <v:shape id="_x0000_i1028" type="#_x0000_t75" style="width:388pt;height:114pt" o:ole="">
            <v:imagedata r:id="rId19" o:title=""/>
          </v:shape>
          <o:OLEObject Type="Embed" ProgID="Visio.Drawing.11" ShapeID="_x0000_i1028" DrawAspect="Content" ObjectID="_1608751019" r:id="rId20"/>
        </w:object>
      </w:r>
    </w:p>
    <w:p w14:paraId="16BBC0B5" w14:textId="278D7640" w:rsidR="002311F8" w:rsidRDefault="006F7F84" w:rsidP="00EC65CA">
      <w:pPr>
        <w:pStyle w:val="Caption"/>
        <w:jc w:val="center"/>
      </w:pPr>
      <w:r>
        <w:t xml:space="preserve">Figure </w:t>
      </w:r>
      <w:r>
        <w:fldChar w:fldCharType="begin"/>
      </w:r>
      <w:r>
        <w:instrText xml:space="preserve"> SEQ Figure \* ARABIC </w:instrText>
      </w:r>
      <w:r>
        <w:fldChar w:fldCharType="separate"/>
      </w:r>
      <w:r w:rsidR="0053343D">
        <w:rPr>
          <w:noProof/>
        </w:rPr>
        <w:t>4</w:t>
      </w:r>
      <w:r>
        <w:fldChar w:fldCharType="end"/>
      </w:r>
      <w:r>
        <w:t>: COT start with PDSCH puncturing</w:t>
      </w:r>
    </w:p>
    <w:p w14:paraId="34668C3E" w14:textId="2D028486" w:rsidR="00593595" w:rsidRDefault="00593595" w:rsidP="00C418D9">
      <w:pPr>
        <w:pStyle w:val="proposal"/>
      </w:pPr>
      <w:bookmarkStart w:id="23" w:name="p10"/>
      <w:bookmarkStart w:id="24" w:name="i"/>
      <w:r w:rsidRPr="006C212E">
        <w:t xml:space="preserve">Proposal </w:t>
      </w:r>
      <w:r w:rsidR="004A56F1" w:rsidRPr="004F0B22">
        <w:fldChar w:fldCharType="begin"/>
      </w:r>
      <w:r w:rsidR="004A56F1" w:rsidRPr="004F0B22">
        <w:instrText xml:space="preserve"> AUTONUMLGL  \* Arabic \e </w:instrText>
      </w:r>
      <w:r w:rsidR="004A56F1" w:rsidRPr="004F0B22">
        <w:fldChar w:fldCharType="end"/>
      </w:r>
      <w:r w:rsidRPr="006C212E">
        <w:t xml:space="preserve">: </w:t>
      </w:r>
      <w:r>
        <w:t>For the first data transmission after an LBT opportunity, NR-U supports rate matching of PDSCH/PUSCH for a larger number of symbols than those used for data transmission in combination with symbol level puncturing</w:t>
      </w:r>
      <w:r w:rsidR="00C60119">
        <w:t xml:space="preserve"> (Option 2)</w:t>
      </w:r>
    </w:p>
    <w:p w14:paraId="4BDD0027" w14:textId="41E7AA14" w:rsidR="00142F78" w:rsidRDefault="00142F78" w:rsidP="00C418D9">
      <w:pPr>
        <w:pStyle w:val="proposal"/>
      </w:pPr>
      <w:bookmarkStart w:id="25" w:name="p11"/>
      <w:bookmarkEnd w:id="23"/>
      <w:r>
        <w:t>Proposa</w:t>
      </w:r>
      <w:r w:rsidR="00891F6A">
        <w:t>l</w:t>
      </w:r>
      <w:r w:rsidR="00E7139A" w:rsidRPr="008C5EF0">
        <w:t xml:space="preserve"> </w:t>
      </w:r>
      <w:r w:rsidR="004A56F1" w:rsidRPr="004F0B22">
        <w:fldChar w:fldCharType="begin"/>
      </w:r>
      <w:r w:rsidR="004A56F1" w:rsidRPr="004F0B22">
        <w:instrText xml:space="preserve"> AUTONUMLGL  \* Arabic \e </w:instrText>
      </w:r>
      <w:r w:rsidR="004A56F1" w:rsidRPr="004F0B22">
        <w:fldChar w:fldCharType="end"/>
      </w:r>
      <w:r>
        <w:t>: PDSCH grant should support arbitrary start symbol, length and rate-matching/puncturing indication</w:t>
      </w:r>
      <w:r w:rsidR="0016497F">
        <w:t>.</w:t>
      </w:r>
      <w:r w:rsidR="005E601E" w:rsidDel="005E601E">
        <w:t xml:space="preserve"> </w:t>
      </w:r>
    </w:p>
    <w:bookmarkEnd w:id="24"/>
    <w:bookmarkEnd w:id="25"/>
    <w:p w14:paraId="7C304408" w14:textId="0A2FD1C1" w:rsidR="00D86055" w:rsidRDefault="00D86055" w:rsidP="004F0B22">
      <w:pPr>
        <w:pStyle w:val="Heading1"/>
      </w:pPr>
      <w:r>
        <w:t xml:space="preserve"> CSI-RS</w:t>
      </w:r>
    </w:p>
    <w:p w14:paraId="05136C17" w14:textId="6E863780" w:rsidR="005C7BA6" w:rsidRDefault="005C7BA6" w:rsidP="00D86055">
      <w:r>
        <w:t xml:space="preserve">In NR, CSI-RS transmission can be periodic, semi-persistent, and aperiodic. </w:t>
      </w:r>
      <w:r w:rsidR="00D86055">
        <w:t xml:space="preserve">In NR-U, </w:t>
      </w:r>
      <w:r>
        <w:t xml:space="preserve">due to the LBT requirement for DL transmission, </w:t>
      </w:r>
      <w:r w:rsidR="00D86055">
        <w:t xml:space="preserve">aperiodic CSI-RS </w:t>
      </w:r>
      <w:r w:rsidR="00213862">
        <w:t xml:space="preserve">fits the opportunistic transmission of </w:t>
      </w:r>
      <w:r w:rsidR="008D2AAF">
        <w:t>a DL burst</w:t>
      </w:r>
      <w:r w:rsidR="00213862">
        <w:t xml:space="preserve">. On the other hand, </w:t>
      </w:r>
      <w:r w:rsidR="00A73185">
        <w:t xml:space="preserve">NR </w:t>
      </w:r>
      <w:r w:rsidR="00213862">
        <w:t xml:space="preserve">periodic CSI-RS and semi-persistent CSI-RS </w:t>
      </w:r>
      <w:r w:rsidR="00A73185">
        <w:t>cannot carry over to NR-U directly, consider</w:t>
      </w:r>
      <w:r w:rsidR="00CA7A38">
        <w:t>ing the fact that</w:t>
      </w:r>
      <w:r w:rsidR="00A73185">
        <w:t xml:space="preserve"> the configured transmission opportunity may not be useable due to LBT failure. </w:t>
      </w:r>
    </w:p>
    <w:p w14:paraId="38E47657" w14:textId="1F86DFBB" w:rsidR="00A73185" w:rsidRDefault="00A73185" w:rsidP="00D86055">
      <w:r>
        <w:t>Simple changes to period</w:t>
      </w:r>
      <w:r w:rsidR="00CA7A38">
        <w:t>ic</w:t>
      </w:r>
      <w:r>
        <w:t xml:space="preserve"> and semi-persistent CSI-RS can be introduced to make it more LBT friendly. For example, if the periodic and semi-persistent CSI-RS are configured, they can be only transmitted when the configured transmission opportunity falls in the DL portion of a </w:t>
      </w:r>
      <w:r w:rsidR="008D2AAF">
        <w:t>COT</w:t>
      </w:r>
      <w:r>
        <w:t xml:space="preserve">. On the UE side, if the processing of periodic and semi-persistent CSI-RS is conditioned on the detection of </w:t>
      </w:r>
      <w:r w:rsidR="008D2AAF">
        <w:t xml:space="preserve">COT </w:t>
      </w:r>
      <w:r>
        <w:t>start, these CSI-RS types can still be supported in NR-U, as a scheduler choice.</w:t>
      </w:r>
    </w:p>
    <w:p w14:paraId="4C3D68F0" w14:textId="37FFF5B2" w:rsidR="00213862" w:rsidRPr="00213862" w:rsidRDefault="00213862" w:rsidP="00D86055">
      <w:pPr>
        <w:rPr>
          <w:b/>
        </w:rPr>
      </w:pPr>
      <w:bookmarkStart w:id="26" w:name="j"/>
      <w:bookmarkStart w:id="27" w:name="p12"/>
      <w:r w:rsidRPr="00213862">
        <w:rPr>
          <w:b/>
        </w:rPr>
        <w:t xml:space="preserve">Proposal </w:t>
      </w:r>
      <w:r w:rsidR="004A56F1">
        <w:rPr>
          <w:b/>
        </w:rPr>
        <w:fldChar w:fldCharType="begin"/>
      </w:r>
      <w:r w:rsidR="004A56F1">
        <w:rPr>
          <w:b/>
        </w:rPr>
        <w:instrText xml:space="preserve"> AUTONUMLGL  \* Arabic \e </w:instrText>
      </w:r>
      <w:r w:rsidR="004A56F1">
        <w:rPr>
          <w:b/>
        </w:rPr>
        <w:fldChar w:fldCharType="end"/>
      </w:r>
      <w:r w:rsidR="004A56F1">
        <w:rPr>
          <w:b/>
        </w:rPr>
        <w:t>:</w:t>
      </w:r>
      <w:r w:rsidRPr="00213862">
        <w:rPr>
          <w:b/>
        </w:rPr>
        <w:t xml:space="preserve"> </w:t>
      </w:r>
      <w:r w:rsidR="00CA7A38">
        <w:rPr>
          <w:b/>
        </w:rPr>
        <w:t>P</w:t>
      </w:r>
      <w:r w:rsidRPr="00213862">
        <w:rPr>
          <w:b/>
        </w:rPr>
        <w:t>eriodic, semi-persistent, and aperiodic CSI-RS can be supported in NR-U</w:t>
      </w:r>
      <w:r w:rsidR="00CA7A38">
        <w:rPr>
          <w:b/>
        </w:rPr>
        <w:t>. T</w:t>
      </w:r>
      <w:r w:rsidRPr="00213862">
        <w:rPr>
          <w:b/>
        </w:rPr>
        <w:t xml:space="preserve">he transmission and processing of periodic and semi-persistent CSI-RS should be conditioned on the detection that the transmission opportunity falls in the DL portion of a </w:t>
      </w:r>
      <w:r w:rsidR="008D2AAF">
        <w:rPr>
          <w:b/>
        </w:rPr>
        <w:t>COT</w:t>
      </w:r>
      <w:r w:rsidRPr="00213862">
        <w:rPr>
          <w:b/>
        </w:rPr>
        <w:t>.</w:t>
      </w:r>
    </w:p>
    <w:bookmarkEnd w:id="26"/>
    <w:bookmarkEnd w:id="27"/>
    <w:p w14:paraId="25454152" w14:textId="1B3B430F" w:rsidR="00FD5744" w:rsidRDefault="00F25B8A" w:rsidP="004F0B22">
      <w:pPr>
        <w:pStyle w:val="Heading1"/>
      </w:pPr>
      <w:r>
        <w:t>COT structure indication</w:t>
      </w:r>
    </w:p>
    <w:p w14:paraId="21BA9A9F" w14:textId="757842DD" w:rsidR="00F25B8A" w:rsidRDefault="00383CF0" w:rsidP="00A73185">
      <w:pPr>
        <w:wordWrap/>
        <w:rPr>
          <w:lang w:eastAsia="en-US"/>
        </w:rPr>
      </w:pPr>
      <w:r>
        <w:rPr>
          <w:lang w:eastAsia="en-US"/>
        </w:rPr>
        <w:t>The work item description includes the following with respect to COT structure indication:</w:t>
      </w:r>
    </w:p>
    <w:p w14:paraId="4C24B375" w14:textId="77777777" w:rsidR="00383CF0" w:rsidRDefault="00383CF0" w:rsidP="00CA1BA7">
      <w:pPr>
        <w:pStyle w:val="ListParagraph"/>
        <w:numPr>
          <w:ilvl w:val="0"/>
          <w:numId w:val="36"/>
        </w:numPr>
      </w:pPr>
      <w: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370572A3" w14:textId="5FB07F09" w:rsidR="00383CF0" w:rsidRDefault="00383CF0" w:rsidP="00383CF0">
      <w:r>
        <w:t>The RAN1#94bis agreement includes the following with respect to COT structure indication:</w:t>
      </w:r>
    </w:p>
    <w:p w14:paraId="2214C449" w14:textId="4CA3439B" w:rsidR="00383CF0" w:rsidRDefault="00383CF0" w:rsidP="00CA1BA7">
      <w:pPr>
        <w:pStyle w:val="ListParagraph"/>
        <w:numPr>
          <w:ilvl w:val="0"/>
          <w:numId w:val="36"/>
        </w:numPr>
        <w:rPr>
          <w:lang w:eastAsia="en-US"/>
        </w:rPr>
      </w:pPr>
      <w:r>
        <w:rPr>
          <w:lang w:eastAsia="x-none"/>
        </w:rPr>
        <w:t>In addition to the functionalities provided by DCI format 2_0 in Rel-15 NR, indication of the COT structure in the time domain has been identified as being beneficial.</w:t>
      </w:r>
    </w:p>
    <w:p w14:paraId="6E754890" w14:textId="3D10DB14" w:rsidR="00A73185" w:rsidRDefault="00A73185" w:rsidP="00A73185">
      <w:pPr>
        <w:wordWrap/>
        <w:rPr>
          <w:lang w:eastAsia="en-US"/>
        </w:rPr>
      </w:pPr>
      <w:r>
        <w:rPr>
          <w:lang w:eastAsia="en-US"/>
        </w:rPr>
        <w:t>SFI feature was introduced in Rel.15 NR to indicating to the UE on the format of slot(s). The UE configured to monitor</w:t>
      </w:r>
      <w:r w:rsidR="00826634">
        <w:rPr>
          <w:lang w:eastAsia="en-US"/>
        </w:rPr>
        <w:t xml:space="preserve"> the SFI will be informed the OFDM symbols in a slot or a sequence of slots to be DL, UL, or flexible.</w:t>
      </w:r>
    </w:p>
    <w:p w14:paraId="4AB1500D" w14:textId="0A149108" w:rsidR="00826634" w:rsidRDefault="00826634" w:rsidP="00A73185">
      <w:pPr>
        <w:wordWrap/>
        <w:rPr>
          <w:lang w:eastAsia="en-US"/>
        </w:rPr>
      </w:pPr>
      <w:r>
        <w:rPr>
          <w:lang w:eastAsia="en-US"/>
        </w:rPr>
        <w:t xml:space="preserve">In LTE-LAA, C-PDCCH was introduced to indicate to the UE the structure of </w:t>
      </w:r>
      <w:r w:rsidR="00877671">
        <w:rPr>
          <w:lang w:eastAsia="en-US"/>
        </w:rPr>
        <w:t>COT</w:t>
      </w:r>
      <w:r>
        <w:rPr>
          <w:lang w:eastAsia="en-US"/>
        </w:rPr>
        <w:t xml:space="preserve">, including the length of DL portion of </w:t>
      </w:r>
      <w:r w:rsidR="00877671">
        <w:rPr>
          <w:lang w:eastAsia="en-US"/>
        </w:rPr>
        <w:t>COT</w:t>
      </w:r>
      <w:r>
        <w:rPr>
          <w:lang w:eastAsia="en-US"/>
        </w:rPr>
        <w:t xml:space="preserve">, the length of gap, and the length of UL portion. </w:t>
      </w:r>
    </w:p>
    <w:p w14:paraId="2C09AAED" w14:textId="48AFA982" w:rsidR="00F6223D" w:rsidRDefault="00F6223D" w:rsidP="00A73185">
      <w:pPr>
        <w:wordWrap/>
        <w:rPr>
          <w:lang w:eastAsia="en-US"/>
        </w:rPr>
      </w:pPr>
      <w:r>
        <w:rPr>
          <w:lang w:eastAsia="en-US"/>
        </w:rPr>
        <w:lastRenderedPageBreak/>
        <w:t>As we can see, the key functionality of C-PDCCH can be achieved by using SFI. However, the Rel.15 NR SFI functionality is limited as the slot formats that can be indicated, and the monitoring of the GC-PDCCH carrying SFI were optimized for licensed operation. For NR-U, it is possible some enhancements to the SFI are needed to make it more unlicensed operation friendly.</w:t>
      </w:r>
    </w:p>
    <w:p w14:paraId="00FB2D0E" w14:textId="4E9EB3AF" w:rsidR="00F6223D" w:rsidRDefault="00F6223D" w:rsidP="00A73185">
      <w:pPr>
        <w:wordWrap/>
        <w:rPr>
          <w:lang w:eastAsia="en-US"/>
        </w:rPr>
      </w:pPr>
      <w:r>
        <w:rPr>
          <w:lang w:eastAsia="en-US"/>
        </w:rPr>
        <w:t>Some features already in LTE-LAA C-PDCCH that can be considered to be includes:</w:t>
      </w:r>
    </w:p>
    <w:p w14:paraId="396026ED" w14:textId="7865B425" w:rsidR="00F6223D" w:rsidRDefault="00F6223D" w:rsidP="00F6223D">
      <w:pPr>
        <w:pStyle w:val="ListParagraph"/>
        <w:numPr>
          <w:ilvl w:val="0"/>
          <w:numId w:val="17"/>
        </w:numPr>
        <w:rPr>
          <w:lang w:eastAsia="en-US"/>
        </w:rPr>
      </w:pPr>
      <w:r>
        <w:rPr>
          <w:lang w:eastAsia="en-US"/>
        </w:rPr>
        <w:t>2-stage PUSCH trigger</w:t>
      </w:r>
    </w:p>
    <w:p w14:paraId="3BB07E67" w14:textId="3EA677D8" w:rsidR="001759B0" w:rsidRDefault="00F6223D" w:rsidP="001759B0">
      <w:pPr>
        <w:pStyle w:val="ListParagraph"/>
        <w:numPr>
          <w:ilvl w:val="0"/>
          <w:numId w:val="17"/>
        </w:numPr>
        <w:rPr>
          <w:lang w:eastAsia="en-US"/>
        </w:rPr>
      </w:pPr>
      <w:r>
        <w:rPr>
          <w:lang w:eastAsia="en-US"/>
        </w:rPr>
        <w:t>COT sharing indicator for AUL</w:t>
      </w:r>
    </w:p>
    <w:p w14:paraId="135069F2" w14:textId="06A6C229" w:rsidR="001759B0" w:rsidRDefault="001759B0" w:rsidP="001759B0">
      <w:pPr>
        <w:wordWrap/>
        <w:rPr>
          <w:lang w:eastAsia="en-US"/>
        </w:rPr>
      </w:pPr>
      <w:r>
        <w:rPr>
          <w:lang w:eastAsia="en-US"/>
        </w:rPr>
        <w:t>Some additional features to be considered for SFI includes</w:t>
      </w:r>
    </w:p>
    <w:p w14:paraId="467361CE" w14:textId="69FB7FA6" w:rsidR="001759B0" w:rsidRDefault="001759B0" w:rsidP="001759B0">
      <w:pPr>
        <w:pStyle w:val="ListParagraph"/>
        <w:numPr>
          <w:ilvl w:val="0"/>
          <w:numId w:val="17"/>
        </w:numPr>
        <w:rPr>
          <w:lang w:eastAsia="en-US"/>
        </w:rPr>
      </w:pPr>
      <w:r>
        <w:rPr>
          <w:lang w:eastAsia="en-US"/>
        </w:rPr>
        <w:t xml:space="preserve">Using GC-PDCCH carrying SFI to indicate the subband usage is subband LBT is applied </w:t>
      </w:r>
    </w:p>
    <w:p w14:paraId="060DE915" w14:textId="1BECABEF" w:rsidR="007F317B" w:rsidRDefault="001759B0" w:rsidP="00C418D9">
      <w:pPr>
        <w:pStyle w:val="proposal"/>
      </w:pPr>
      <w:bookmarkStart w:id="28" w:name="k"/>
      <w:bookmarkStart w:id="29" w:name="p13"/>
      <w:r>
        <w:t>Proposal</w:t>
      </w:r>
      <w:r w:rsidR="00190501" w:rsidRPr="004F0B22">
        <w:rPr>
          <w:b w:val="0"/>
        </w:rPr>
        <w:t xml:space="preserve"> </w:t>
      </w:r>
      <w:r w:rsidR="004A56F1" w:rsidRPr="004F0B22">
        <w:fldChar w:fldCharType="begin"/>
      </w:r>
      <w:r w:rsidR="004A56F1" w:rsidRPr="004F0B22">
        <w:instrText xml:space="preserve"> AUTONUMLGL  \* Arabic \e </w:instrText>
      </w:r>
      <w:r w:rsidR="004A56F1" w:rsidRPr="004F0B22">
        <w:fldChar w:fldCharType="end"/>
      </w:r>
      <w:r>
        <w:t>: NR SFI can be enhanced to support the functionality of LTE-LAA C-PDCCH, and support subband based channel access.</w:t>
      </w:r>
    </w:p>
    <w:bookmarkEnd w:id="2"/>
    <w:bookmarkEnd w:id="3"/>
    <w:bookmarkEnd w:id="28"/>
    <w:bookmarkEnd w:id="29"/>
    <w:p w14:paraId="61F75F64" w14:textId="46336038" w:rsidR="0097374C" w:rsidRPr="00985B1D" w:rsidRDefault="00985B1D" w:rsidP="004F0B22">
      <w:pPr>
        <w:pStyle w:val="Heading1"/>
      </w:pPr>
      <w:r>
        <w:t>Summary</w:t>
      </w:r>
    </w:p>
    <w:p w14:paraId="1DBE9725" w14:textId="153F57B6" w:rsidR="005165C6" w:rsidRDefault="00682284" w:rsidP="00C418D9">
      <w:r>
        <w:t xml:space="preserve">In this section, we summarize the </w:t>
      </w:r>
      <w:r w:rsidR="00201152">
        <w:t xml:space="preserve">proposals for </w:t>
      </w:r>
      <w:r>
        <w:t xml:space="preserve">DL </w:t>
      </w:r>
      <w:r w:rsidR="00201152">
        <w:t>signals and channels</w:t>
      </w:r>
      <w:r>
        <w:t xml:space="preserve"> for NR-U in </w:t>
      </w:r>
      <w:r w:rsidR="0069065B">
        <w:t>SUB-7GHZ BAND</w:t>
      </w:r>
      <w:r>
        <w:t>.</w:t>
      </w:r>
    </w:p>
    <w:p w14:paraId="1BAC73AF" w14:textId="64603D6F" w:rsidR="00A27E51" w:rsidRDefault="00BA0B99" w:rsidP="00A27E51">
      <w:pPr>
        <w:rPr>
          <w:b/>
        </w:rPr>
      </w:pPr>
      <w:r>
        <w:rPr>
          <w:b/>
        </w:rPr>
        <w:fldChar w:fldCharType="begin"/>
      </w:r>
      <w:r>
        <w:rPr>
          <w:b/>
        </w:rPr>
        <w:instrText xml:space="preserve"> REF p1 \h </w:instrText>
      </w:r>
      <w:r>
        <w:rPr>
          <w:b/>
        </w:rPr>
      </w:r>
      <w:r>
        <w:rPr>
          <w:b/>
        </w:rPr>
        <w:fldChar w:fldCharType="separate"/>
      </w:r>
      <w:r w:rsidR="0053343D" w:rsidRPr="004C2E5D">
        <w:rPr>
          <w:b/>
        </w:rPr>
        <w:t>Proposal</w:t>
      </w:r>
      <w:r w:rsidR="0053343D">
        <w:rPr>
          <w:b/>
        </w:rPr>
        <w:t xml:space="preserve"> 1</w:t>
      </w:r>
      <w:r w:rsidR="0053343D" w:rsidRPr="004C2E5D">
        <w:rPr>
          <w:b/>
        </w:rPr>
        <w:t>:</w:t>
      </w:r>
      <w:r w:rsidR="0053343D">
        <w:rPr>
          <w:b/>
        </w:rPr>
        <w:t xml:space="preserve"> Support PDCCH wideband DMRS for initial signal</w:t>
      </w:r>
      <w:r>
        <w:rPr>
          <w:b/>
        </w:rPr>
        <w:fldChar w:fldCharType="end"/>
      </w:r>
    </w:p>
    <w:p w14:paraId="27E5524B" w14:textId="60BC5F7E" w:rsidR="00BA0B99" w:rsidRDefault="00BA0B99" w:rsidP="00A27E51">
      <w:pPr>
        <w:rPr>
          <w:b/>
        </w:rPr>
      </w:pPr>
      <w:r>
        <w:rPr>
          <w:b/>
        </w:rPr>
        <w:fldChar w:fldCharType="begin"/>
      </w:r>
      <w:r>
        <w:rPr>
          <w:b/>
        </w:rPr>
        <w:instrText xml:space="preserve"> REF p2 \h </w:instrText>
      </w:r>
      <w:r>
        <w:rPr>
          <w:b/>
        </w:rPr>
      </w:r>
      <w:r>
        <w:rPr>
          <w:b/>
        </w:rPr>
        <w:fldChar w:fldCharType="separate"/>
      </w:r>
      <w:r w:rsidR="0053343D" w:rsidRPr="00D323C5">
        <w:rPr>
          <w:b/>
          <w:lang w:eastAsia="en-US"/>
        </w:rPr>
        <w:t>Proposal</w:t>
      </w:r>
      <w:r w:rsidR="0053343D">
        <w:rPr>
          <w:b/>
        </w:rPr>
        <w:t xml:space="preserve"> 2</w:t>
      </w:r>
      <w:r w:rsidR="0053343D" w:rsidRPr="00D323C5">
        <w:rPr>
          <w:b/>
          <w:lang w:eastAsia="en-US"/>
        </w:rPr>
        <w:t>:</w:t>
      </w:r>
      <w:r w:rsidR="0053343D">
        <w:rPr>
          <w:b/>
          <w:lang w:eastAsia="en-US"/>
        </w:rPr>
        <w:t xml:space="preserve"> RMSI coreset for second SSB in a slot can occupy the symbols between the 2 SSBs in the slot</w:t>
      </w:r>
      <w:r>
        <w:rPr>
          <w:b/>
        </w:rPr>
        <w:fldChar w:fldCharType="end"/>
      </w:r>
    </w:p>
    <w:p w14:paraId="558E82A4" w14:textId="402900FD" w:rsidR="00BA0B99" w:rsidRDefault="00BA0B99" w:rsidP="00A27E51">
      <w:pPr>
        <w:rPr>
          <w:b/>
        </w:rPr>
      </w:pPr>
      <w:r w:rsidRPr="00BA0B99">
        <w:rPr>
          <w:b/>
        </w:rPr>
        <w:fldChar w:fldCharType="begin"/>
      </w:r>
      <w:r w:rsidRPr="00BA0B99">
        <w:rPr>
          <w:b/>
        </w:rPr>
        <w:instrText xml:space="preserve"> REF p3 \h  \* MERGEFORMAT </w:instrText>
      </w:r>
      <w:r w:rsidRPr="00BA0B99">
        <w:rPr>
          <w:b/>
        </w:rPr>
      </w:r>
      <w:r w:rsidRPr="00BA0B99">
        <w:rPr>
          <w:b/>
        </w:rPr>
        <w:fldChar w:fldCharType="separate"/>
      </w:r>
      <w:r w:rsidR="0053343D" w:rsidRPr="0053343D">
        <w:rPr>
          <w:b/>
        </w:rPr>
        <w:t xml:space="preserve">Proposal 3: The current NR PDSCH transmission type B scheduling with 2/4/7 symbol duration (mini-slot based scheduling) can be reused for NR-U, to allow flexible </w:t>
      </w:r>
      <w:proofErr w:type="spellStart"/>
      <w:r w:rsidR="0053343D" w:rsidRPr="0053343D">
        <w:rPr>
          <w:b/>
        </w:rPr>
        <w:t>gNB</w:t>
      </w:r>
      <w:proofErr w:type="spellEnd"/>
      <w:r w:rsidR="0053343D" w:rsidRPr="0053343D">
        <w:rPr>
          <w:b/>
        </w:rPr>
        <w:t xml:space="preserve"> COT starting points.</w:t>
      </w:r>
      <w:r w:rsidRPr="00BA0B99">
        <w:rPr>
          <w:b/>
        </w:rPr>
        <w:fldChar w:fldCharType="end"/>
      </w:r>
    </w:p>
    <w:p w14:paraId="1B2850C4" w14:textId="064D7C77" w:rsidR="00BA0B99" w:rsidRPr="00BA0B99" w:rsidRDefault="00BA0B99" w:rsidP="00A27E51">
      <w:pPr>
        <w:rPr>
          <w:b/>
        </w:rPr>
      </w:pPr>
      <w:r w:rsidRPr="00BA0B99">
        <w:rPr>
          <w:b/>
        </w:rPr>
        <w:fldChar w:fldCharType="begin"/>
      </w:r>
      <w:r w:rsidRPr="00BA0B99">
        <w:rPr>
          <w:b/>
        </w:rPr>
        <w:instrText xml:space="preserve"> REF p4 \h  \* MERGEFORMAT </w:instrText>
      </w:r>
      <w:r w:rsidRPr="00BA0B99">
        <w:rPr>
          <w:b/>
        </w:rPr>
      </w:r>
      <w:r w:rsidRPr="00BA0B99">
        <w:rPr>
          <w:b/>
        </w:rPr>
        <w:fldChar w:fldCharType="separate"/>
      </w:r>
      <w:r w:rsidR="0053343D" w:rsidRPr="0053343D">
        <w:rPr>
          <w:b/>
        </w:rPr>
        <w:t>Proposal 4: The UEs that support mini-slot level PDCCH monitoring, may be configured with mini-slot based scheduling before and for an initial duration after the COT start, and with slot</w:t>
      </w:r>
      <w:r w:rsidR="009123FE">
        <w:rPr>
          <w:b/>
        </w:rPr>
        <w:t>-</w:t>
      </w:r>
      <w:r w:rsidR="0053343D" w:rsidRPr="0053343D">
        <w:rPr>
          <w:b/>
        </w:rPr>
        <w:t xml:space="preserve">based scheduling for rest of the COT duration. </w:t>
      </w:r>
      <w:r w:rsidRPr="00BA0B99">
        <w:rPr>
          <w:b/>
        </w:rPr>
        <w:fldChar w:fldCharType="end"/>
      </w:r>
    </w:p>
    <w:p w14:paraId="64BF035C" w14:textId="2ADFDD10" w:rsidR="00BA0B99" w:rsidRPr="00BA0B99" w:rsidRDefault="00BA0B99" w:rsidP="00A27E51">
      <w:pPr>
        <w:rPr>
          <w:b/>
        </w:rPr>
      </w:pPr>
      <w:r w:rsidRPr="00BA0B99">
        <w:rPr>
          <w:b/>
        </w:rPr>
        <w:fldChar w:fldCharType="begin"/>
      </w:r>
      <w:r w:rsidRPr="00BA0B99">
        <w:rPr>
          <w:b/>
        </w:rPr>
        <w:instrText xml:space="preserve"> REF p5 \h  \* MERGEFORMAT </w:instrText>
      </w:r>
      <w:r w:rsidRPr="00BA0B99">
        <w:rPr>
          <w:b/>
        </w:rPr>
      </w:r>
      <w:r w:rsidRPr="00BA0B99">
        <w:rPr>
          <w:b/>
        </w:rPr>
        <w:fldChar w:fldCharType="separate"/>
      </w:r>
      <w:r w:rsidR="0053343D" w:rsidRPr="0053343D">
        <w:rPr>
          <w:b/>
        </w:rPr>
        <w:t>Proposal 5: A UE may be configured with different CORESET configuration for an initial duration after COT start where mini-slot based scheduling is applied, compared to the CORESET configuration for the rest of the COT duration where slot</w:t>
      </w:r>
      <w:r w:rsidR="009123FE">
        <w:rPr>
          <w:b/>
        </w:rPr>
        <w:t>-</w:t>
      </w:r>
      <w:r w:rsidR="0053343D" w:rsidRPr="0053343D">
        <w:rPr>
          <w:b/>
        </w:rPr>
        <w:t>based scheduling is applied.</w:t>
      </w:r>
      <w:r w:rsidRPr="00BA0B99">
        <w:rPr>
          <w:b/>
        </w:rPr>
        <w:fldChar w:fldCharType="end"/>
      </w:r>
    </w:p>
    <w:p w14:paraId="76AE6FFD" w14:textId="5A5D6244" w:rsidR="00BA0B99" w:rsidRDefault="00BA0B99" w:rsidP="00A27E51">
      <w:pPr>
        <w:rPr>
          <w:b/>
        </w:rPr>
      </w:pPr>
      <w:r>
        <w:rPr>
          <w:b/>
        </w:rPr>
        <w:fldChar w:fldCharType="begin"/>
      </w:r>
      <w:r>
        <w:rPr>
          <w:b/>
        </w:rPr>
        <w:instrText xml:space="preserve"> REF p6 \h </w:instrText>
      </w:r>
      <w:r>
        <w:rPr>
          <w:b/>
        </w:rPr>
      </w:r>
      <w:r>
        <w:rPr>
          <w:b/>
        </w:rPr>
        <w:fldChar w:fldCharType="separate"/>
      </w:r>
      <w:r w:rsidR="0053343D" w:rsidRPr="00B00113">
        <w:rPr>
          <w:b/>
        </w:rPr>
        <w:t xml:space="preserve">Proposal </w:t>
      </w:r>
      <w:r w:rsidR="0053343D">
        <w:rPr>
          <w:b/>
        </w:rPr>
        <w:t>6</w:t>
      </w:r>
      <w:r w:rsidR="0053343D" w:rsidRPr="00B00113">
        <w:rPr>
          <w:b/>
        </w:rPr>
        <w:t xml:space="preserve">: </w:t>
      </w:r>
      <w:r w:rsidR="0053343D">
        <w:rPr>
          <w:b/>
        </w:rPr>
        <w:t xml:space="preserve">The frequency resources UE monitors for PDCCH may change dynamically, e.g., based on explicit signalling or determined implicitly through the </w:t>
      </w:r>
      <w:proofErr w:type="spellStart"/>
      <w:r w:rsidR="0053343D">
        <w:rPr>
          <w:b/>
        </w:rPr>
        <w:t>gNB</w:t>
      </w:r>
      <w:proofErr w:type="spellEnd"/>
      <w:r w:rsidR="0053343D">
        <w:rPr>
          <w:b/>
        </w:rPr>
        <w:t xml:space="preserve"> COT start detection. </w:t>
      </w:r>
      <w:r>
        <w:rPr>
          <w:b/>
        </w:rPr>
        <w:fldChar w:fldCharType="end"/>
      </w:r>
    </w:p>
    <w:p w14:paraId="07EF3FEC" w14:textId="77777777" w:rsidR="0053343D" w:rsidRPr="004F0B22" w:rsidRDefault="00BA0B99" w:rsidP="0044242B">
      <w:pPr>
        <w:rPr>
          <w:b/>
        </w:rPr>
      </w:pPr>
      <w:r>
        <w:rPr>
          <w:b/>
        </w:rPr>
        <w:fldChar w:fldCharType="begin"/>
      </w:r>
      <w:r>
        <w:rPr>
          <w:b/>
        </w:rPr>
        <w:instrText xml:space="preserve"> REF p7 \h </w:instrText>
      </w:r>
      <w:r>
        <w:rPr>
          <w:b/>
        </w:rPr>
      </w:r>
      <w:r>
        <w:rPr>
          <w:b/>
        </w:rPr>
        <w:fldChar w:fldCharType="separate"/>
      </w:r>
      <w:r w:rsidR="0053343D" w:rsidRPr="004F0B22">
        <w:rPr>
          <w:b/>
        </w:rPr>
        <w:t>Proposal</w:t>
      </w:r>
      <w:r w:rsidR="0053343D">
        <w:rPr>
          <w:b/>
        </w:rPr>
        <w:t xml:space="preserve"> 7</w:t>
      </w:r>
      <w:r w:rsidR="0053343D" w:rsidRPr="004F0B22">
        <w:rPr>
          <w:b/>
        </w:rPr>
        <w:t xml:space="preserve">: In case the PDCCH monitoring configuration is changed </w:t>
      </w:r>
      <w:r w:rsidR="0053343D">
        <w:rPr>
          <w:b/>
        </w:rPr>
        <w:t xml:space="preserve">dynamically </w:t>
      </w:r>
      <w:r w:rsidR="0053343D" w:rsidRPr="004F0B22">
        <w:rPr>
          <w:b/>
        </w:rPr>
        <w:t>based on COT, there should at least be a set of common PDCCH search space candidates in the PDCCH search space inside and outside the COT to enable UE to recover from missed detection of COT start</w:t>
      </w:r>
    </w:p>
    <w:p w14:paraId="08BB0832" w14:textId="77777777" w:rsidR="0053343D" w:rsidRDefault="00BA0B99" w:rsidP="00221054">
      <w:pPr>
        <w:rPr>
          <w:b/>
        </w:rPr>
      </w:pPr>
      <w:r>
        <w:rPr>
          <w:b/>
        </w:rPr>
        <w:fldChar w:fldCharType="end"/>
      </w:r>
      <w:r>
        <w:rPr>
          <w:b/>
        </w:rPr>
        <w:fldChar w:fldCharType="begin"/>
      </w:r>
      <w:r>
        <w:rPr>
          <w:b/>
        </w:rPr>
        <w:instrText xml:space="preserve"> REF p8 \h </w:instrText>
      </w:r>
      <w:r>
        <w:rPr>
          <w:b/>
        </w:rPr>
      </w:r>
      <w:r>
        <w:rPr>
          <w:b/>
        </w:rPr>
        <w:fldChar w:fldCharType="separate"/>
      </w:r>
      <w:r w:rsidR="0053343D">
        <w:rPr>
          <w:b/>
        </w:rPr>
        <w:t>Proposal 8: The UE can switch PDCCH monitoring pattern dynamically based on any one of the following triggers:</w:t>
      </w:r>
    </w:p>
    <w:p w14:paraId="0A361D04" w14:textId="77777777" w:rsidR="0053343D" w:rsidRDefault="0053343D" w:rsidP="004F0B22">
      <w:pPr>
        <w:pStyle w:val="ListParagraph"/>
        <w:numPr>
          <w:ilvl w:val="0"/>
          <w:numId w:val="21"/>
        </w:numPr>
        <w:rPr>
          <w:b/>
        </w:rPr>
      </w:pPr>
      <w:r>
        <w:rPr>
          <w:b/>
        </w:rPr>
        <w:t>Implicitly based on COT start detection and the slot boundary</w:t>
      </w:r>
    </w:p>
    <w:p w14:paraId="5903D46E" w14:textId="77777777" w:rsidR="0053343D" w:rsidRDefault="0053343D" w:rsidP="004F0B22">
      <w:pPr>
        <w:pStyle w:val="ListParagraph"/>
        <w:numPr>
          <w:ilvl w:val="0"/>
          <w:numId w:val="21"/>
        </w:numPr>
        <w:rPr>
          <w:b/>
        </w:rPr>
      </w:pPr>
      <w:r>
        <w:rPr>
          <w:b/>
        </w:rPr>
        <w:t>Implicitly based on whether it was scheduled within a specific time window</w:t>
      </w:r>
    </w:p>
    <w:p w14:paraId="02F95FB9" w14:textId="77777777" w:rsidR="0053343D" w:rsidRPr="004F0B22" w:rsidRDefault="0053343D" w:rsidP="004F0B22">
      <w:pPr>
        <w:pStyle w:val="ListParagraph"/>
        <w:numPr>
          <w:ilvl w:val="0"/>
          <w:numId w:val="21"/>
        </w:numPr>
        <w:rPr>
          <w:b/>
        </w:rPr>
      </w:pPr>
      <w:r>
        <w:rPr>
          <w:b/>
        </w:rPr>
        <w:t>Explicit indication in the common or UE specific PDCCH</w:t>
      </w:r>
    </w:p>
    <w:p w14:paraId="483D0882" w14:textId="77777777" w:rsidR="0053343D" w:rsidRDefault="00BA0B99" w:rsidP="0044242B">
      <w:pPr>
        <w:rPr>
          <w:b/>
        </w:rPr>
      </w:pPr>
      <w:r>
        <w:rPr>
          <w:b/>
        </w:rPr>
        <w:fldChar w:fldCharType="end"/>
      </w:r>
      <w:r>
        <w:rPr>
          <w:b/>
        </w:rPr>
        <w:fldChar w:fldCharType="begin"/>
      </w:r>
      <w:r>
        <w:rPr>
          <w:b/>
        </w:rPr>
        <w:instrText xml:space="preserve"> REF p9 \h </w:instrText>
      </w:r>
      <w:r>
        <w:rPr>
          <w:b/>
        </w:rPr>
      </w:r>
      <w:r>
        <w:rPr>
          <w:b/>
        </w:rPr>
        <w:fldChar w:fldCharType="separate"/>
      </w:r>
      <w:r w:rsidR="0053343D">
        <w:rPr>
          <w:b/>
        </w:rPr>
        <w:t xml:space="preserve">Proposal 9: In NSA mode of operation, </w:t>
      </w:r>
      <w:proofErr w:type="spellStart"/>
      <w:r w:rsidR="0053343D">
        <w:rPr>
          <w:b/>
        </w:rPr>
        <w:t>gNB</w:t>
      </w:r>
      <w:proofErr w:type="spellEnd"/>
      <w:r w:rsidR="0053343D">
        <w:rPr>
          <w:b/>
        </w:rPr>
        <w:t xml:space="preserve"> can explicitly indicate/trigger PDCCH monitoring switch for the unlicensed carrier, using the licensed carrier.</w:t>
      </w:r>
    </w:p>
    <w:p w14:paraId="13335CA9" w14:textId="77777777" w:rsidR="0053343D" w:rsidRDefault="00BA0B99" w:rsidP="00C418D9">
      <w:pPr>
        <w:pStyle w:val="proposal"/>
      </w:pPr>
      <w:r>
        <w:rPr>
          <w:b w:val="0"/>
        </w:rPr>
        <w:fldChar w:fldCharType="end"/>
      </w:r>
      <w:r>
        <w:rPr>
          <w:b w:val="0"/>
        </w:rPr>
        <w:fldChar w:fldCharType="begin"/>
      </w:r>
      <w:r>
        <w:rPr>
          <w:b w:val="0"/>
        </w:rPr>
        <w:instrText xml:space="preserve"> REF p10 \h </w:instrText>
      </w:r>
      <w:r>
        <w:rPr>
          <w:b w:val="0"/>
        </w:rPr>
      </w:r>
      <w:r>
        <w:rPr>
          <w:b w:val="0"/>
        </w:rPr>
        <w:fldChar w:fldCharType="separate"/>
      </w:r>
      <w:r w:rsidR="0053343D" w:rsidRPr="006C212E">
        <w:t xml:space="preserve">Proposal </w:t>
      </w:r>
      <w:r w:rsidR="0053343D">
        <w:t>10</w:t>
      </w:r>
      <w:r w:rsidR="0053343D" w:rsidRPr="006C212E">
        <w:t xml:space="preserve">: </w:t>
      </w:r>
      <w:r w:rsidR="0053343D">
        <w:t>For the first data transmission after an LBT opportunity, NR-U supports rate matching of PDSCH/PUSCH for a larger number of symbols than those used for data transmission in combination with symbol level puncturing (Option 2)</w:t>
      </w:r>
    </w:p>
    <w:p w14:paraId="4727A50D" w14:textId="77777777" w:rsidR="0053343D" w:rsidRDefault="00BA0B99" w:rsidP="00C418D9">
      <w:pPr>
        <w:pStyle w:val="proposal"/>
      </w:pPr>
      <w:r>
        <w:rPr>
          <w:b w:val="0"/>
        </w:rPr>
        <w:fldChar w:fldCharType="end"/>
      </w:r>
      <w:r>
        <w:rPr>
          <w:b w:val="0"/>
        </w:rPr>
        <w:fldChar w:fldCharType="begin"/>
      </w:r>
      <w:r>
        <w:rPr>
          <w:b w:val="0"/>
        </w:rPr>
        <w:instrText xml:space="preserve"> REF p11 \h </w:instrText>
      </w:r>
      <w:r>
        <w:rPr>
          <w:b w:val="0"/>
        </w:rPr>
      </w:r>
      <w:r>
        <w:rPr>
          <w:b w:val="0"/>
        </w:rPr>
        <w:fldChar w:fldCharType="separate"/>
      </w:r>
      <w:r w:rsidR="0053343D">
        <w:t>Proposal</w:t>
      </w:r>
      <w:r w:rsidR="0053343D" w:rsidRPr="008C5EF0">
        <w:t xml:space="preserve"> </w:t>
      </w:r>
      <w:r w:rsidR="0053343D">
        <w:t>11: PDSCH grant should support arbitrary start symbol, length and rate-matching/puncturing indication.</w:t>
      </w:r>
      <w:r w:rsidR="0053343D" w:rsidDel="005E601E">
        <w:t xml:space="preserve"> </w:t>
      </w:r>
    </w:p>
    <w:p w14:paraId="3F08A352" w14:textId="77777777" w:rsidR="0053343D" w:rsidRPr="00213862" w:rsidRDefault="00BA0B99" w:rsidP="00D86055">
      <w:pPr>
        <w:rPr>
          <w:b/>
        </w:rPr>
      </w:pPr>
      <w:r>
        <w:rPr>
          <w:b/>
        </w:rPr>
        <w:fldChar w:fldCharType="end"/>
      </w:r>
      <w:r>
        <w:rPr>
          <w:b/>
        </w:rPr>
        <w:fldChar w:fldCharType="begin"/>
      </w:r>
      <w:r>
        <w:rPr>
          <w:b/>
        </w:rPr>
        <w:instrText xml:space="preserve"> REF p12 \h </w:instrText>
      </w:r>
      <w:r>
        <w:rPr>
          <w:b/>
        </w:rPr>
      </w:r>
      <w:r>
        <w:rPr>
          <w:b/>
        </w:rPr>
        <w:fldChar w:fldCharType="separate"/>
      </w:r>
      <w:r w:rsidR="0053343D" w:rsidRPr="00213862">
        <w:rPr>
          <w:b/>
        </w:rPr>
        <w:t xml:space="preserve">Proposal </w:t>
      </w:r>
      <w:r w:rsidR="0053343D">
        <w:rPr>
          <w:b/>
        </w:rPr>
        <w:t>12:</w:t>
      </w:r>
      <w:r w:rsidR="0053343D" w:rsidRPr="00213862">
        <w:rPr>
          <w:b/>
        </w:rPr>
        <w:t xml:space="preserve"> </w:t>
      </w:r>
      <w:r w:rsidR="0053343D">
        <w:rPr>
          <w:b/>
        </w:rPr>
        <w:t>P</w:t>
      </w:r>
      <w:r w:rsidR="0053343D" w:rsidRPr="00213862">
        <w:rPr>
          <w:b/>
        </w:rPr>
        <w:t>eriodic, semi-persistent, and aperiodic CSI-RS can be supported in NR-U</w:t>
      </w:r>
      <w:r w:rsidR="0053343D">
        <w:rPr>
          <w:b/>
        </w:rPr>
        <w:t>. T</w:t>
      </w:r>
      <w:r w:rsidR="0053343D" w:rsidRPr="00213862">
        <w:rPr>
          <w:b/>
        </w:rPr>
        <w:t xml:space="preserve">he transmission and processing of periodic and semi-persistent CSI-RS should be conditioned on the detection that the transmission opportunity falls in the DL portion of a </w:t>
      </w:r>
      <w:r w:rsidR="0053343D">
        <w:rPr>
          <w:b/>
        </w:rPr>
        <w:t>COT</w:t>
      </w:r>
      <w:r w:rsidR="0053343D" w:rsidRPr="00213862">
        <w:rPr>
          <w:b/>
        </w:rPr>
        <w:t>.</w:t>
      </w:r>
    </w:p>
    <w:p w14:paraId="1B1B1689" w14:textId="77777777" w:rsidR="0053343D" w:rsidRDefault="00BA0B99" w:rsidP="00C418D9">
      <w:pPr>
        <w:pStyle w:val="proposal"/>
      </w:pPr>
      <w:r>
        <w:rPr>
          <w:b w:val="0"/>
        </w:rPr>
        <w:fldChar w:fldCharType="end"/>
      </w:r>
      <w:r>
        <w:rPr>
          <w:b w:val="0"/>
        </w:rPr>
        <w:fldChar w:fldCharType="begin"/>
      </w:r>
      <w:r>
        <w:rPr>
          <w:b w:val="0"/>
        </w:rPr>
        <w:instrText xml:space="preserve"> REF p13 \h </w:instrText>
      </w:r>
      <w:r>
        <w:rPr>
          <w:b w:val="0"/>
        </w:rPr>
      </w:r>
      <w:r>
        <w:rPr>
          <w:b w:val="0"/>
        </w:rPr>
        <w:fldChar w:fldCharType="separate"/>
      </w:r>
      <w:r w:rsidR="0053343D">
        <w:t>Proposal</w:t>
      </w:r>
      <w:r w:rsidR="0053343D" w:rsidRPr="004F0B22">
        <w:rPr>
          <w:b w:val="0"/>
        </w:rPr>
        <w:t xml:space="preserve"> </w:t>
      </w:r>
      <w:r w:rsidR="0053343D">
        <w:t xml:space="preserve">13: NR SFI can be enhanced to support the functionality of LTE-LAA C-PDCCH, and support </w:t>
      </w:r>
      <w:proofErr w:type="spellStart"/>
      <w:r w:rsidR="0053343D">
        <w:t>subband</w:t>
      </w:r>
      <w:proofErr w:type="spellEnd"/>
      <w:r w:rsidR="0053343D">
        <w:t xml:space="preserve"> based channel access.</w:t>
      </w:r>
    </w:p>
    <w:p w14:paraId="4DFABDA3" w14:textId="426F690E" w:rsidR="00BA0B99" w:rsidRPr="004F0B22" w:rsidRDefault="00BA0B99" w:rsidP="00A27E51">
      <w:pPr>
        <w:rPr>
          <w:b/>
        </w:rPr>
      </w:pPr>
      <w:r>
        <w:rPr>
          <w:b/>
        </w:rPr>
        <w:fldChar w:fldCharType="end"/>
      </w:r>
    </w:p>
    <w:p w14:paraId="47A6B625" w14:textId="1E682051" w:rsidR="00E77804" w:rsidRDefault="00E77804" w:rsidP="004F0B22">
      <w:pPr>
        <w:pStyle w:val="Heading1"/>
      </w:pPr>
      <w:r>
        <w:lastRenderedPageBreak/>
        <w:t>References</w:t>
      </w:r>
    </w:p>
    <w:p w14:paraId="61FB3C2E" w14:textId="77777777" w:rsidR="002718B2" w:rsidRDefault="002718B2" w:rsidP="002718B2">
      <w:r>
        <w:t>[1] RP-182878, “New WID on NR-based Access to Unlicensed Spectrum”, Qualcomm Incorporated, RAN#82, Sorrento, Italy, Dec. 10-13, 2018</w:t>
      </w:r>
    </w:p>
    <w:p w14:paraId="7E409EDB" w14:textId="77777777" w:rsidR="002718B2" w:rsidRDefault="002718B2" w:rsidP="002718B2">
      <w:r>
        <w:t>[2] RP-172021, Revised SID on NR-based Access to Unlicensed Spectrum, Qualcomm Incorporated, RAN#77, Sapporo, Japan, September 11 - 14, 2017.</w:t>
      </w:r>
    </w:p>
    <w:p w14:paraId="101B28DA" w14:textId="77777777" w:rsidR="002718B2" w:rsidRDefault="002718B2" w:rsidP="002718B2">
      <w:r>
        <w:t>[3] RP-181339, “Revised SID on NR-based Access to Unlicensed Spectrum”, Qualcomm Incorporated, RAN#80, La Jolla, USA, June 11-14, 2018.</w:t>
      </w:r>
    </w:p>
    <w:p w14:paraId="75EE806F" w14:textId="54945122" w:rsidR="0084300C" w:rsidRDefault="002718B2" w:rsidP="002718B2">
      <w:r>
        <w:t>[4] TR 3</w:t>
      </w:r>
      <w:r w:rsidR="005F59C2">
        <w:t>8</w:t>
      </w:r>
      <w:r>
        <w:t>.889, “Study on NR-based Access to Unlicensed Spectrum”, RAN#82, Dec. 2018.</w:t>
      </w:r>
    </w:p>
    <w:p w14:paraId="34DA9F36" w14:textId="00CDDDC0" w:rsidR="002718B2" w:rsidRDefault="002718B2" w:rsidP="002718B2">
      <w:r>
        <w:t>[5] R1-18abcde, “</w:t>
      </w:r>
      <w:r w:rsidRPr="002718B2">
        <w:t>Feature lead summary for NR-U DL Signals and Channels</w:t>
      </w:r>
      <w:r>
        <w:t xml:space="preserve">”, </w:t>
      </w:r>
      <w:r w:rsidRPr="002718B2">
        <w:t>Motorola Mobility, Lenovo</w:t>
      </w:r>
      <w:r>
        <w:t xml:space="preserve">, RAN1#95, </w:t>
      </w:r>
      <w:r w:rsidRPr="00470700">
        <w:t>Spokane, USA, 12th – 16h November 2018</w:t>
      </w:r>
      <w:r>
        <w:t>.</w:t>
      </w:r>
    </w:p>
    <w:p w14:paraId="3A1426BA" w14:textId="0F1C79B7" w:rsidR="00366757" w:rsidRDefault="00366757" w:rsidP="00091EE3">
      <w:r>
        <w:t>[6] R1-1</w:t>
      </w:r>
      <w:r w:rsidR="00E378C0">
        <w:t>900874</w:t>
      </w:r>
      <w:r>
        <w:t>, “Initial access and mobility procedures for NR-U”, Qualcomm Incorporated, AH-1901, Taipei, Taiwan</w:t>
      </w:r>
      <w:r w:rsidR="0053343D">
        <w:t xml:space="preserve">, </w:t>
      </w:r>
      <w:r>
        <w:t>Jan. 21st – Jan. 25th, 2019</w:t>
      </w:r>
    </w:p>
    <w:p w14:paraId="3967DB9D" w14:textId="6F4BDF1E" w:rsidR="00091EE3" w:rsidRDefault="00091EE3" w:rsidP="00091EE3">
      <w:r>
        <w:t>[</w:t>
      </w:r>
      <w:r w:rsidR="00366757">
        <w:t>7</w:t>
      </w:r>
      <w:r>
        <w:t>] R1-1</w:t>
      </w:r>
      <w:r w:rsidR="00E378C0">
        <w:t>900870</w:t>
      </w:r>
      <w:r>
        <w:t>, “Initial access signals and channels for NR-U”, Qualcomm Incorporated, AH-1901, Taipei, Taiwan</w:t>
      </w:r>
    </w:p>
    <w:p w14:paraId="21E8C981" w14:textId="67427EE1" w:rsidR="00091EE3" w:rsidRPr="00AE102E" w:rsidRDefault="00091EE3" w:rsidP="00091EE3">
      <w:r>
        <w:t>Jan. 21st – Jan. 25th, 2019</w:t>
      </w:r>
    </w:p>
    <w:sectPr w:rsidR="00091EE3" w:rsidRPr="00AE102E"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2EC68" w14:textId="77777777" w:rsidR="006D352D" w:rsidRDefault="006D352D" w:rsidP="00C418D9">
      <w:r>
        <w:separator/>
      </w:r>
    </w:p>
    <w:p w14:paraId="1D144386" w14:textId="77777777" w:rsidR="006D352D" w:rsidRDefault="006D352D"/>
    <w:p w14:paraId="2D6F3B54" w14:textId="77777777" w:rsidR="006D352D" w:rsidRDefault="006D352D" w:rsidP="00A73185"/>
  </w:endnote>
  <w:endnote w:type="continuationSeparator" w:id="0">
    <w:p w14:paraId="0A58122C" w14:textId="77777777" w:rsidR="006D352D" w:rsidRDefault="006D352D" w:rsidP="00C418D9">
      <w:r>
        <w:continuationSeparator/>
      </w:r>
    </w:p>
    <w:p w14:paraId="6FBDE39E" w14:textId="77777777" w:rsidR="006D352D" w:rsidRDefault="006D352D"/>
    <w:p w14:paraId="62D22918" w14:textId="77777777" w:rsidR="006D352D" w:rsidRDefault="006D352D" w:rsidP="00A73185"/>
  </w:endnote>
  <w:endnote w:type="continuationNotice" w:id="1">
    <w:p w14:paraId="3B42AD19" w14:textId="77777777" w:rsidR="006D352D" w:rsidRDefault="006D352D" w:rsidP="00C418D9"/>
    <w:p w14:paraId="07F778AB" w14:textId="77777777" w:rsidR="006D352D" w:rsidRDefault="006D352D"/>
    <w:p w14:paraId="3BDCF0C4" w14:textId="77777777" w:rsidR="006D352D" w:rsidRDefault="006D352D"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47F1B" w:rsidRDefault="00047F1B"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47F1B" w:rsidRDefault="00047F1B" w:rsidP="00C418D9">
    <w:pPr>
      <w:pStyle w:val="Footer"/>
    </w:pPr>
  </w:p>
  <w:p w14:paraId="7265A418" w14:textId="77777777" w:rsidR="00047F1B" w:rsidRDefault="00047F1B"/>
  <w:p w14:paraId="48825022" w14:textId="77777777" w:rsidR="00047F1B" w:rsidRDefault="00047F1B"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047F1B" w:rsidRDefault="00047F1B"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C0247">
      <w:rPr>
        <w:rStyle w:val="PageNumber"/>
        <w:noProof/>
      </w:rPr>
      <w:t>4</w:t>
    </w:r>
    <w:r>
      <w:rPr>
        <w:rStyle w:val="PageNumber"/>
      </w:rPr>
      <w:fldChar w:fldCharType="end"/>
    </w:r>
  </w:p>
  <w:p w14:paraId="5BFA00B5" w14:textId="77777777" w:rsidR="00047F1B" w:rsidRDefault="00047F1B" w:rsidP="00C418D9">
    <w:pPr>
      <w:pStyle w:val="Footer"/>
    </w:pPr>
  </w:p>
  <w:p w14:paraId="062CBF9A" w14:textId="77777777" w:rsidR="00047F1B" w:rsidRDefault="00047F1B"/>
  <w:p w14:paraId="1543B3B4" w14:textId="77777777" w:rsidR="00047F1B" w:rsidRDefault="00047F1B"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A5F57" w14:textId="77777777" w:rsidR="006D352D" w:rsidRDefault="006D352D" w:rsidP="00C418D9">
      <w:r>
        <w:separator/>
      </w:r>
    </w:p>
    <w:p w14:paraId="33285271" w14:textId="77777777" w:rsidR="006D352D" w:rsidRDefault="006D352D"/>
    <w:p w14:paraId="2CEF779E" w14:textId="77777777" w:rsidR="006D352D" w:rsidRDefault="006D352D" w:rsidP="00A73185"/>
  </w:footnote>
  <w:footnote w:type="continuationSeparator" w:id="0">
    <w:p w14:paraId="3D5EA5B0" w14:textId="77777777" w:rsidR="006D352D" w:rsidRDefault="006D352D" w:rsidP="00C418D9">
      <w:r>
        <w:continuationSeparator/>
      </w:r>
    </w:p>
    <w:p w14:paraId="73073052" w14:textId="77777777" w:rsidR="006D352D" w:rsidRDefault="006D352D"/>
    <w:p w14:paraId="75D59C64" w14:textId="77777777" w:rsidR="006D352D" w:rsidRDefault="006D352D" w:rsidP="00A73185"/>
  </w:footnote>
  <w:footnote w:type="continuationNotice" w:id="1">
    <w:p w14:paraId="38D0B891" w14:textId="77777777" w:rsidR="006D352D" w:rsidRDefault="006D352D" w:rsidP="00C418D9"/>
    <w:p w14:paraId="3A456D57" w14:textId="77777777" w:rsidR="006D352D" w:rsidRDefault="006D352D"/>
    <w:p w14:paraId="14807435" w14:textId="77777777" w:rsidR="006D352D" w:rsidRDefault="006D352D"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553D"/>
    <w:multiLevelType w:val="hybridMultilevel"/>
    <w:tmpl w:val="ACF6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12753C7D"/>
    <w:multiLevelType w:val="hybridMultilevel"/>
    <w:tmpl w:val="8230F82E"/>
    <w:lvl w:ilvl="0" w:tplc="C5388426">
      <w:start w:val="1"/>
      <w:numFmt w:val="bullet"/>
      <w:lvlText w:val="◦"/>
      <w:lvlJc w:val="left"/>
      <w:pPr>
        <w:tabs>
          <w:tab w:val="num" w:pos="720"/>
        </w:tabs>
        <w:ind w:left="720" w:hanging="360"/>
      </w:pPr>
      <w:rPr>
        <w:rFonts w:ascii="Microsoft Sans Serif" w:hAnsi="Microsoft Sans Serif" w:hint="default"/>
      </w:rPr>
    </w:lvl>
    <w:lvl w:ilvl="1" w:tplc="12CC5FCE">
      <w:start w:val="1"/>
      <w:numFmt w:val="bullet"/>
      <w:lvlText w:val="◦"/>
      <w:lvlJc w:val="left"/>
      <w:pPr>
        <w:tabs>
          <w:tab w:val="num" w:pos="1440"/>
        </w:tabs>
        <w:ind w:left="1440" w:hanging="360"/>
      </w:pPr>
      <w:rPr>
        <w:rFonts w:ascii="Microsoft Sans Serif" w:hAnsi="Microsoft Sans Serif" w:hint="default"/>
      </w:rPr>
    </w:lvl>
    <w:lvl w:ilvl="2" w:tplc="D84A32F2" w:tentative="1">
      <w:start w:val="1"/>
      <w:numFmt w:val="bullet"/>
      <w:lvlText w:val="◦"/>
      <w:lvlJc w:val="left"/>
      <w:pPr>
        <w:tabs>
          <w:tab w:val="num" w:pos="2160"/>
        </w:tabs>
        <w:ind w:left="2160" w:hanging="360"/>
      </w:pPr>
      <w:rPr>
        <w:rFonts w:ascii="Microsoft Sans Serif" w:hAnsi="Microsoft Sans Serif" w:hint="default"/>
      </w:rPr>
    </w:lvl>
    <w:lvl w:ilvl="3" w:tplc="B67C3ABE" w:tentative="1">
      <w:start w:val="1"/>
      <w:numFmt w:val="bullet"/>
      <w:lvlText w:val="◦"/>
      <w:lvlJc w:val="left"/>
      <w:pPr>
        <w:tabs>
          <w:tab w:val="num" w:pos="2880"/>
        </w:tabs>
        <w:ind w:left="2880" w:hanging="360"/>
      </w:pPr>
      <w:rPr>
        <w:rFonts w:ascii="Microsoft Sans Serif" w:hAnsi="Microsoft Sans Serif" w:hint="default"/>
      </w:rPr>
    </w:lvl>
    <w:lvl w:ilvl="4" w:tplc="D62CE99E" w:tentative="1">
      <w:start w:val="1"/>
      <w:numFmt w:val="bullet"/>
      <w:lvlText w:val="◦"/>
      <w:lvlJc w:val="left"/>
      <w:pPr>
        <w:tabs>
          <w:tab w:val="num" w:pos="3600"/>
        </w:tabs>
        <w:ind w:left="3600" w:hanging="360"/>
      </w:pPr>
      <w:rPr>
        <w:rFonts w:ascii="Microsoft Sans Serif" w:hAnsi="Microsoft Sans Serif" w:hint="default"/>
      </w:rPr>
    </w:lvl>
    <w:lvl w:ilvl="5" w:tplc="E2D21C10" w:tentative="1">
      <w:start w:val="1"/>
      <w:numFmt w:val="bullet"/>
      <w:lvlText w:val="◦"/>
      <w:lvlJc w:val="left"/>
      <w:pPr>
        <w:tabs>
          <w:tab w:val="num" w:pos="4320"/>
        </w:tabs>
        <w:ind w:left="4320" w:hanging="360"/>
      </w:pPr>
      <w:rPr>
        <w:rFonts w:ascii="Microsoft Sans Serif" w:hAnsi="Microsoft Sans Serif" w:hint="default"/>
      </w:rPr>
    </w:lvl>
    <w:lvl w:ilvl="6" w:tplc="EE306ADE" w:tentative="1">
      <w:start w:val="1"/>
      <w:numFmt w:val="bullet"/>
      <w:lvlText w:val="◦"/>
      <w:lvlJc w:val="left"/>
      <w:pPr>
        <w:tabs>
          <w:tab w:val="num" w:pos="5040"/>
        </w:tabs>
        <w:ind w:left="5040" w:hanging="360"/>
      </w:pPr>
      <w:rPr>
        <w:rFonts w:ascii="Microsoft Sans Serif" w:hAnsi="Microsoft Sans Serif" w:hint="default"/>
      </w:rPr>
    </w:lvl>
    <w:lvl w:ilvl="7" w:tplc="38C8B74A" w:tentative="1">
      <w:start w:val="1"/>
      <w:numFmt w:val="bullet"/>
      <w:lvlText w:val="◦"/>
      <w:lvlJc w:val="left"/>
      <w:pPr>
        <w:tabs>
          <w:tab w:val="num" w:pos="5760"/>
        </w:tabs>
        <w:ind w:left="5760" w:hanging="360"/>
      </w:pPr>
      <w:rPr>
        <w:rFonts w:ascii="Microsoft Sans Serif" w:hAnsi="Microsoft Sans Serif" w:hint="default"/>
      </w:rPr>
    </w:lvl>
    <w:lvl w:ilvl="8" w:tplc="38FEB65E"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38C09C4"/>
    <w:multiLevelType w:val="hybridMultilevel"/>
    <w:tmpl w:val="C46AAB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2377F"/>
    <w:multiLevelType w:val="hybridMultilevel"/>
    <w:tmpl w:val="AED6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E6153"/>
    <w:multiLevelType w:val="hybridMultilevel"/>
    <w:tmpl w:val="01B4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A178E"/>
    <w:multiLevelType w:val="hybridMultilevel"/>
    <w:tmpl w:val="E710E2AE"/>
    <w:lvl w:ilvl="0" w:tplc="154C70C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C4F0CAE"/>
    <w:multiLevelType w:val="hybridMultilevel"/>
    <w:tmpl w:val="5CDE1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B418D"/>
    <w:multiLevelType w:val="hybridMultilevel"/>
    <w:tmpl w:val="4352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04704"/>
    <w:multiLevelType w:val="hybridMultilevel"/>
    <w:tmpl w:val="5ACE0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0552E"/>
    <w:multiLevelType w:val="multilevel"/>
    <w:tmpl w:val="2B80507E"/>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548840A0"/>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2D0B37"/>
    <w:multiLevelType w:val="hybridMultilevel"/>
    <w:tmpl w:val="D9088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D86C5D"/>
    <w:multiLevelType w:val="hybridMultilevel"/>
    <w:tmpl w:val="067AB706"/>
    <w:lvl w:ilvl="0" w:tplc="F216D710">
      <w:start w:val="1"/>
      <w:numFmt w:val="bullet"/>
      <w:lvlText w:val="◦"/>
      <w:lvlJc w:val="left"/>
      <w:pPr>
        <w:tabs>
          <w:tab w:val="num" w:pos="720"/>
        </w:tabs>
        <w:ind w:left="720" w:hanging="360"/>
      </w:pPr>
      <w:rPr>
        <w:rFonts w:ascii="Microsoft Sans Serif" w:hAnsi="Microsoft Sans Serif" w:hint="default"/>
      </w:rPr>
    </w:lvl>
    <w:lvl w:ilvl="1" w:tplc="37A065E0">
      <w:start w:val="1"/>
      <w:numFmt w:val="bullet"/>
      <w:lvlText w:val="◦"/>
      <w:lvlJc w:val="left"/>
      <w:pPr>
        <w:tabs>
          <w:tab w:val="num" w:pos="1440"/>
        </w:tabs>
        <w:ind w:left="1440" w:hanging="360"/>
      </w:pPr>
      <w:rPr>
        <w:rFonts w:ascii="Microsoft Sans Serif" w:hAnsi="Microsoft Sans Serif" w:hint="default"/>
      </w:rPr>
    </w:lvl>
    <w:lvl w:ilvl="2" w:tplc="C6CCF3E4" w:tentative="1">
      <w:start w:val="1"/>
      <w:numFmt w:val="bullet"/>
      <w:lvlText w:val="◦"/>
      <w:lvlJc w:val="left"/>
      <w:pPr>
        <w:tabs>
          <w:tab w:val="num" w:pos="2160"/>
        </w:tabs>
        <w:ind w:left="2160" w:hanging="360"/>
      </w:pPr>
      <w:rPr>
        <w:rFonts w:ascii="Microsoft Sans Serif" w:hAnsi="Microsoft Sans Serif" w:hint="default"/>
      </w:rPr>
    </w:lvl>
    <w:lvl w:ilvl="3" w:tplc="2DF8E856" w:tentative="1">
      <w:start w:val="1"/>
      <w:numFmt w:val="bullet"/>
      <w:lvlText w:val="◦"/>
      <w:lvlJc w:val="left"/>
      <w:pPr>
        <w:tabs>
          <w:tab w:val="num" w:pos="2880"/>
        </w:tabs>
        <w:ind w:left="2880" w:hanging="360"/>
      </w:pPr>
      <w:rPr>
        <w:rFonts w:ascii="Microsoft Sans Serif" w:hAnsi="Microsoft Sans Serif" w:hint="default"/>
      </w:rPr>
    </w:lvl>
    <w:lvl w:ilvl="4" w:tplc="B0068DB4" w:tentative="1">
      <w:start w:val="1"/>
      <w:numFmt w:val="bullet"/>
      <w:lvlText w:val="◦"/>
      <w:lvlJc w:val="left"/>
      <w:pPr>
        <w:tabs>
          <w:tab w:val="num" w:pos="3600"/>
        </w:tabs>
        <w:ind w:left="3600" w:hanging="360"/>
      </w:pPr>
      <w:rPr>
        <w:rFonts w:ascii="Microsoft Sans Serif" w:hAnsi="Microsoft Sans Serif" w:hint="default"/>
      </w:rPr>
    </w:lvl>
    <w:lvl w:ilvl="5" w:tplc="CE60E0B4" w:tentative="1">
      <w:start w:val="1"/>
      <w:numFmt w:val="bullet"/>
      <w:lvlText w:val="◦"/>
      <w:lvlJc w:val="left"/>
      <w:pPr>
        <w:tabs>
          <w:tab w:val="num" w:pos="4320"/>
        </w:tabs>
        <w:ind w:left="4320" w:hanging="360"/>
      </w:pPr>
      <w:rPr>
        <w:rFonts w:ascii="Microsoft Sans Serif" w:hAnsi="Microsoft Sans Serif" w:hint="default"/>
      </w:rPr>
    </w:lvl>
    <w:lvl w:ilvl="6" w:tplc="DA40683E" w:tentative="1">
      <w:start w:val="1"/>
      <w:numFmt w:val="bullet"/>
      <w:lvlText w:val="◦"/>
      <w:lvlJc w:val="left"/>
      <w:pPr>
        <w:tabs>
          <w:tab w:val="num" w:pos="5040"/>
        </w:tabs>
        <w:ind w:left="5040" w:hanging="360"/>
      </w:pPr>
      <w:rPr>
        <w:rFonts w:ascii="Microsoft Sans Serif" w:hAnsi="Microsoft Sans Serif" w:hint="default"/>
      </w:rPr>
    </w:lvl>
    <w:lvl w:ilvl="7" w:tplc="750CC88E" w:tentative="1">
      <w:start w:val="1"/>
      <w:numFmt w:val="bullet"/>
      <w:lvlText w:val="◦"/>
      <w:lvlJc w:val="left"/>
      <w:pPr>
        <w:tabs>
          <w:tab w:val="num" w:pos="5760"/>
        </w:tabs>
        <w:ind w:left="5760" w:hanging="360"/>
      </w:pPr>
      <w:rPr>
        <w:rFonts w:ascii="Microsoft Sans Serif" w:hAnsi="Microsoft Sans Serif" w:hint="default"/>
      </w:rPr>
    </w:lvl>
    <w:lvl w:ilvl="8" w:tplc="762CE3AE"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4267787"/>
    <w:multiLevelType w:val="multilevel"/>
    <w:tmpl w:val="26C83CEC"/>
    <w:lvl w:ilvl="0">
      <w:start w:val="3"/>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8A4915"/>
    <w:multiLevelType w:val="hybridMultilevel"/>
    <w:tmpl w:val="F324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5" w15:restartNumberingAfterBreak="0">
    <w:nsid w:val="74EB3A08"/>
    <w:multiLevelType w:val="hybridMultilevel"/>
    <w:tmpl w:val="4022C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32230C"/>
    <w:multiLevelType w:val="hybridMultilevel"/>
    <w:tmpl w:val="8EB8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60CF3"/>
    <w:multiLevelType w:val="multilevel"/>
    <w:tmpl w:val="CFE66BAA"/>
    <w:lvl w:ilvl="0">
      <w:start w:val="5"/>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11"/>
  </w:num>
  <w:num w:numId="3">
    <w:abstractNumId w:val="28"/>
  </w:num>
  <w:num w:numId="4">
    <w:abstractNumId w:val="37"/>
  </w:num>
  <w:num w:numId="5">
    <w:abstractNumId w:val="39"/>
  </w:num>
  <w:num w:numId="6">
    <w:abstractNumId w:val="10"/>
  </w:num>
  <w:num w:numId="7">
    <w:abstractNumId w:val="23"/>
  </w:num>
  <w:num w:numId="8">
    <w:abstractNumId w:val="21"/>
  </w:num>
  <w:num w:numId="9">
    <w:abstractNumId w:val="8"/>
  </w:num>
  <w:num w:numId="10">
    <w:abstractNumId w:val="33"/>
  </w:num>
  <w:num w:numId="11">
    <w:abstractNumId w:val="18"/>
  </w:num>
  <w:num w:numId="12">
    <w:abstractNumId w:val="2"/>
  </w:num>
  <w:num w:numId="13">
    <w:abstractNumId w:val="1"/>
  </w:num>
  <w:num w:numId="14">
    <w:abstractNumId w:val="13"/>
  </w:num>
  <w:num w:numId="15">
    <w:abstractNumId w:val="17"/>
  </w:num>
  <w:num w:numId="16">
    <w:abstractNumId w:val="25"/>
  </w:num>
  <w:num w:numId="17">
    <w:abstractNumId w:val="30"/>
  </w:num>
  <w:num w:numId="18">
    <w:abstractNumId w:val="26"/>
  </w:num>
  <w:num w:numId="19">
    <w:abstractNumId w:val="20"/>
  </w:num>
  <w:num w:numId="20">
    <w:abstractNumId w:val="3"/>
  </w:num>
  <w:num w:numId="21">
    <w:abstractNumId w:val="9"/>
  </w:num>
  <w:num w:numId="22">
    <w:abstractNumId w:val="22"/>
  </w:num>
  <w:num w:numId="23">
    <w:abstractNumId w:val="5"/>
  </w:num>
  <w:num w:numId="24">
    <w:abstractNumId w:val="19"/>
  </w:num>
  <w:num w:numId="25">
    <w:abstractNumId w:val="24"/>
  </w:num>
  <w:num w:numId="26">
    <w:abstractNumId w:val="35"/>
  </w:num>
  <w:num w:numId="27">
    <w:abstractNumId w:val="34"/>
  </w:num>
  <w:num w:numId="28">
    <w:abstractNumId w:val="31"/>
  </w:num>
  <w:num w:numId="29">
    <w:abstractNumId w:val="13"/>
  </w:num>
  <w:num w:numId="30">
    <w:abstractNumId w:val="17"/>
  </w:num>
  <w:num w:numId="31">
    <w:abstractNumId w:val="6"/>
  </w:num>
  <w:num w:numId="32">
    <w:abstractNumId w:val="4"/>
  </w:num>
  <w:num w:numId="33">
    <w:abstractNumId w:val="36"/>
  </w:num>
  <w:num w:numId="34">
    <w:abstractNumId w:val="27"/>
  </w:num>
  <w:num w:numId="35">
    <w:abstractNumId w:val="15"/>
  </w:num>
  <w:num w:numId="36">
    <w:abstractNumId w:val="14"/>
  </w:num>
  <w:num w:numId="37">
    <w:abstractNumId w:val="38"/>
  </w:num>
  <w:num w:numId="38">
    <w:abstractNumId w:val="0"/>
  </w:num>
  <w:num w:numId="39">
    <w:abstractNumId w:val="7"/>
  </w:num>
  <w:num w:numId="40">
    <w:abstractNumId w:val="12"/>
  </w:num>
  <w:num w:numId="41">
    <w:abstractNumId w:val="29"/>
  </w:num>
  <w:num w:numId="4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0775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F28"/>
    <w:rsid w:val="00023474"/>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AB8"/>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271"/>
    <w:rsid w:val="000457FE"/>
    <w:rsid w:val="000458AA"/>
    <w:rsid w:val="00046061"/>
    <w:rsid w:val="000461D0"/>
    <w:rsid w:val="0004659D"/>
    <w:rsid w:val="00046C16"/>
    <w:rsid w:val="000474A9"/>
    <w:rsid w:val="00047F1B"/>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6E51"/>
    <w:rsid w:val="0005709F"/>
    <w:rsid w:val="000577D3"/>
    <w:rsid w:val="00057910"/>
    <w:rsid w:val="0005792C"/>
    <w:rsid w:val="000579DD"/>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1DEB"/>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22E"/>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1EE3"/>
    <w:rsid w:val="000921CF"/>
    <w:rsid w:val="0009269B"/>
    <w:rsid w:val="00092F5A"/>
    <w:rsid w:val="000932BC"/>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67B"/>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15E"/>
    <w:rsid w:val="000C37FB"/>
    <w:rsid w:val="000C43FD"/>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8"/>
    <w:rsid w:val="000E311E"/>
    <w:rsid w:val="000E328F"/>
    <w:rsid w:val="000E3358"/>
    <w:rsid w:val="000E3990"/>
    <w:rsid w:val="000E3C9D"/>
    <w:rsid w:val="000E4067"/>
    <w:rsid w:val="000E416C"/>
    <w:rsid w:val="000E4225"/>
    <w:rsid w:val="000E4B89"/>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A71"/>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DBE"/>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E7B"/>
    <w:rsid w:val="00126F2C"/>
    <w:rsid w:val="00127118"/>
    <w:rsid w:val="0012745E"/>
    <w:rsid w:val="0012757F"/>
    <w:rsid w:val="00127C78"/>
    <w:rsid w:val="00127D88"/>
    <w:rsid w:val="00130201"/>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6DA1"/>
    <w:rsid w:val="001370CC"/>
    <w:rsid w:val="001377BE"/>
    <w:rsid w:val="001379E0"/>
    <w:rsid w:val="00137D00"/>
    <w:rsid w:val="001401AD"/>
    <w:rsid w:val="001402D9"/>
    <w:rsid w:val="0014067D"/>
    <w:rsid w:val="0014067E"/>
    <w:rsid w:val="001408A8"/>
    <w:rsid w:val="00141131"/>
    <w:rsid w:val="001415B6"/>
    <w:rsid w:val="00141860"/>
    <w:rsid w:val="00141FA3"/>
    <w:rsid w:val="00142D92"/>
    <w:rsid w:val="00142F64"/>
    <w:rsid w:val="00142F78"/>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97F"/>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59B0"/>
    <w:rsid w:val="00176136"/>
    <w:rsid w:val="001761F7"/>
    <w:rsid w:val="00176BD5"/>
    <w:rsid w:val="00176F29"/>
    <w:rsid w:val="00177520"/>
    <w:rsid w:val="0017768B"/>
    <w:rsid w:val="00177A20"/>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DDC"/>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051"/>
    <w:rsid w:val="001D710F"/>
    <w:rsid w:val="001D738C"/>
    <w:rsid w:val="001D7D89"/>
    <w:rsid w:val="001E032A"/>
    <w:rsid w:val="001E0337"/>
    <w:rsid w:val="001E0375"/>
    <w:rsid w:val="001E0401"/>
    <w:rsid w:val="001E048C"/>
    <w:rsid w:val="001E04D2"/>
    <w:rsid w:val="001E0541"/>
    <w:rsid w:val="001E0764"/>
    <w:rsid w:val="001E079E"/>
    <w:rsid w:val="001E07CD"/>
    <w:rsid w:val="001E0996"/>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92D"/>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95B"/>
    <w:rsid w:val="00200A5E"/>
    <w:rsid w:val="00200C30"/>
    <w:rsid w:val="00200E7B"/>
    <w:rsid w:val="00200F30"/>
    <w:rsid w:val="00201152"/>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2478"/>
    <w:rsid w:val="002124CB"/>
    <w:rsid w:val="00212654"/>
    <w:rsid w:val="00212C08"/>
    <w:rsid w:val="0021304A"/>
    <w:rsid w:val="00213801"/>
    <w:rsid w:val="00213862"/>
    <w:rsid w:val="002138F9"/>
    <w:rsid w:val="002139BC"/>
    <w:rsid w:val="00213C23"/>
    <w:rsid w:val="00213E12"/>
    <w:rsid w:val="00213F53"/>
    <w:rsid w:val="00214368"/>
    <w:rsid w:val="002143AF"/>
    <w:rsid w:val="0021446E"/>
    <w:rsid w:val="00214911"/>
    <w:rsid w:val="00214F4B"/>
    <w:rsid w:val="002152B8"/>
    <w:rsid w:val="00215737"/>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54"/>
    <w:rsid w:val="002212FF"/>
    <w:rsid w:val="0022168B"/>
    <w:rsid w:val="00221729"/>
    <w:rsid w:val="00221D66"/>
    <w:rsid w:val="00221F50"/>
    <w:rsid w:val="002222C0"/>
    <w:rsid w:val="0022288A"/>
    <w:rsid w:val="00222B43"/>
    <w:rsid w:val="00222DCE"/>
    <w:rsid w:val="00222F9D"/>
    <w:rsid w:val="0022306E"/>
    <w:rsid w:val="002238CC"/>
    <w:rsid w:val="00223A49"/>
    <w:rsid w:val="00223CF4"/>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1F8"/>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931"/>
    <w:rsid w:val="00252D7F"/>
    <w:rsid w:val="00252E28"/>
    <w:rsid w:val="0025323D"/>
    <w:rsid w:val="00253D6F"/>
    <w:rsid w:val="00253D9D"/>
    <w:rsid w:val="00253E06"/>
    <w:rsid w:val="00253F76"/>
    <w:rsid w:val="00254A47"/>
    <w:rsid w:val="00254B78"/>
    <w:rsid w:val="00254E8A"/>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5D6"/>
    <w:rsid w:val="0027180F"/>
    <w:rsid w:val="00271823"/>
    <w:rsid w:val="002718B2"/>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9FE"/>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5A1B"/>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53"/>
    <w:rsid w:val="002B3E96"/>
    <w:rsid w:val="002B40C5"/>
    <w:rsid w:val="002B4279"/>
    <w:rsid w:val="002B4875"/>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8BD"/>
    <w:rsid w:val="002D39C3"/>
    <w:rsid w:val="002D3A7F"/>
    <w:rsid w:val="002D3CB5"/>
    <w:rsid w:val="002D4162"/>
    <w:rsid w:val="002D477B"/>
    <w:rsid w:val="002D4A92"/>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45"/>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06E"/>
    <w:rsid w:val="003473BE"/>
    <w:rsid w:val="00347454"/>
    <w:rsid w:val="00347AA3"/>
    <w:rsid w:val="00347EA1"/>
    <w:rsid w:val="00347F06"/>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B51"/>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8AC"/>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757"/>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C15"/>
    <w:rsid w:val="00383CF0"/>
    <w:rsid w:val="00383DDF"/>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40"/>
    <w:rsid w:val="00387F6C"/>
    <w:rsid w:val="0039011B"/>
    <w:rsid w:val="00390B7B"/>
    <w:rsid w:val="00390C0D"/>
    <w:rsid w:val="00391000"/>
    <w:rsid w:val="003910CB"/>
    <w:rsid w:val="003918DE"/>
    <w:rsid w:val="00391E36"/>
    <w:rsid w:val="003923CF"/>
    <w:rsid w:val="0039293F"/>
    <w:rsid w:val="00392E7D"/>
    <w:rsid w:val="00393026"/>
    <w:rsid w:val="003931D4"/>
    <w:rsid w:val="0039357C"/>
    <w:rsid w:val="003935B2"/>
    <w:rsid w:val="00393657"/>
    <w:rsid w:val="0039377C"/>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701"/>
    <w:rsid w:val="00397A5D"/>
    <w:rsid w:val="00397F7F"/>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B8F"/>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247"/>
    <w:rsid w:val="003C0D87"/>
    <w:rsid w:val="003C0E05"/>
    <w:rsid w:val="003C14F4"/>
    <w:rsid w:val="003C173A"/>
    <w:rsid w:val="003C1BD7"/>
    <w:rsid w:val="003C2482"/>
    <w:rsid w:val="003C254C"/>
    <w:rsid w:val="003C2680"/>
    <w:rsid w:val="003C270A"/>
    <w:rsid w:val="003C2ABE"/>
    <w:rsid w:val="003C2B7B"/>
    <w:rsid w:val="003C30F1"/>
    <w:rsid w:val="003C33AC"/>
    <w:rsid w:val="003C33D1"/>
    <w:rsid w:val="003C3681"/>
    <w:rsid w:val="003C3753"/>
    <w:rsid w:val="003C3A54"/>
    <w:rsid w:val="003C3D54"/>
    <w:rsid w:val="003C3DDA"/>
    <w:rsid w:val="003C3EAE"/>
    <w:rsid w:val="003C408F"/>
    <w:rsid w:val="003C4529"/>
    <w:rsid w:val="003C495B"/>
    <w:rsid w:val="003C4DAD"/>
    <w:rsid w:val="003C5021"/>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6D"/>
    <w:rsid w:val="003E0C92"/>
    <w:rsid w:val="003E1C11"/>
    <w:rsid w:val="003E1EC5"/>
    <w:rsid w:val="003E212E"/>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36A"/>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312"/>
    <w:rsid w:val="0043734E"/>
    <w:rsid w:val="00437C26"/>
    <w:rsid w:val="00437CC8"/>
    <w:rsid w:val="00437DE3"/>
    <w:rsid w:val="004402B7"/>
    <w:rsid w:val="00440375"/>
    <w:rsid w:val="004403ED"/>
    <w:rsid w:val="00440718"/>
    <w:rsid w:val="00440726"/>
    <w:rsid w:val="00441047"/>
    <w:rsid w:val="004415BB"/>
    <w:rsid w:val="004415FC"/>
    <w:rsid w:val="0044242B"/>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18C"/>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19B"/>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7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2C52"/>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2E5D"/>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B22"/>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0E"/>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509"/>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AB"/>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B65"/>
    <w:rsid w:val="00592C65"/>
    <w:rsid w:val="00592DF1"/>
    <w:rsid w:val="00592F48"/>
    <w:rsid w:val="00592FF9"/>
    <w:rsid w:val="0059321F"/>
    <w:rsid w:val="005934C9"/>
    <w:rsid w:val="00593595"/>
    <w:rsid w:val="005936B0"/>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C23"/>
    <w:rsid w:val="005A7C9A"/>
    <w:rsid w:val="005A7CB6"/>
    <w:rsid w:val="005B0481"/>
    <w:rsid w:val="005B04CD"/>
    <w:rsid w:val="005B0545"/>
    <w:rsid w:val="005B058F"/>
    <w:rsid w:val="005B08D3"/>
    <w:rsid w:val="005B097F"/>
    <w:rsid w:val="005B0C3C"/>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2D9D"/>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361"/>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1EE"/>
    <w:rsid w:val="005E53A1"/>
    <w:rsid w:val="005E544E"/>
    <w:rsid w:val="005E587B"/>
    <w:rsid w:val="005E599C"/>
    <w:rsid w:val="005E59DC"/>
    <w:rsid w:val="005E5E9A"/>
    <w:rsid w:val="005E601E"/>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2EB"/>
    <w:rsid w:val="005F270E"/>
    <w:rsid w:val="005F3199"/>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9C2"/>
    <w:rsid w:val="005F5B4D"/>
    <w:rsid w:val="005F5E3D"/>
    <w:rsid w:val="005F5FCA"/>
    <w:rsid w:val="005F63A0"/>
    <w:rsid w:val="005F63D6"/>
    <w:rsid w:val="005F6536"/>
    <w:rsid w:val="005F6C4F"/>
    <w:rsid w:val="005F6EE0"/>
    <w:rsid w:val="005F7694"/>
    <w:rsid w:val="005F7B85"/>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34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30C"/>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9CC"/>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BE"/>
    <w:rsid w:val="0067189F"/>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316"/>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4F9A"/>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1AF"/>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1D1"/>
    <w:rsid w:val="006C3640"/>
    <w:rsid w:val="006C3AA9"/>
    <w:rsid w:val="006C40D2"/>
    <w:rsid w:val="006C457A"/>
    <w:rsid w:val="006C4C53"/>
    <w:rsid w:val="006C4CD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52D"/>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21"/>
    <w:rsid w:val="006D7CAC"/>
    <w:rsid w:val="006E0838"/>
    <w:rsid w:val="006E08C9"/>
    <w:rsid w:val="006E2691"/>
    <w:rsid w:val="006E28D7"/>
    <w:rsid w:val="006E2BB9"/>
    <w:rsid w:val="006E2C2E"/>
    <w:rsid w:val="006E35A3"/>
    <w:rsid w:val="006E365A"/>
    <w:rsid w:val="006E3986"/>
    <w:rsid w:val="006E3BD3"/>
    <w:rsid w:val="006E3DD1"/>
    <w:rsid w:val="006E407D"/>
    <w:rsid w:val="006E458C"/>
    <w:rsid w:val="006E46FC"/>
    <w:rsid w:val="006E49FE"/>
    <w:rsid w:val="006E4A4B"/>
    <w:rsid w:val="006E5382"/>
    <w:rsid w:val="006E5386"/>
    <w:rsid w:val="006E543B"/>
    <w:rsid w:val="006E5B9D"/>
    <w:rsid w:val="006E5F82"/>
    <w:rsid w:val="006E667A"/>
    <w:rsid w:val="006E67FB"/>
    <w:rsid w:val="006E6A12"/>
    <w:rsid w:val="006E6B1D"/>
    <w:rsid w:val="006E725C"/>
    <w:rsid w:val="006E7470"/>
    <w:rsid w:val="006E763E"/>
    <w:rsid w:val="006E7B14"/>
    <w:rsid w:val="006E7B9F"/>
    <w:rsid w:val="006E7D22"/>
    <w:rsid w:val="006E7E2F"/>
    <w:rsid w:val="006F0243"/>
    <w:rsid w:val="006F04CB"/>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D8E"/>
    <w:rsid w:val="006F4DF3"/>
    <w:rsid w:val="006F5023"/>
    <w:rsid w:val="006F5350"/>
    <w:rsid w:val="006F53FD"/>
    <w:rsid w:val="006F5995"/>
    <w:rsid w:val="006F599A"/>
    <w:rsid w:val="006F5BFA"/>
    <w:rsid w:val="006F5C8E"/>
    <w:rsid w:val="006F5D37"/>
    <w:rsid w:val="006F6656"/>
    <w:rsid w:val="006F6A8A"/>
    <w:rsid w:val="006F6D48"/>
    <w:rsid w:val="006F7588"/>
    <w:rsid w:val="006F7D97"/>
    <w:rsid w:val="006F7F72"/>
    <w:rsid w:val="006F7F84"/>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21C"/>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173"/>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D86"/>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29D"/>
    <w:rsid w:val="007718DF"/>
    <w:rsid w:val="00771B50"/>
    <w:rsid w:val="00771D7E"/>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747"/>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6F2F"/>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4B5"/>
    <w:rsid w:val="00791823"/>
    <w:rsid w:val="00791C18"/>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713"/>
    <w:rsid w:val="007A4CA7"/>
    <w:rsid w:val="007A4F48"/>
    <w:rsid w:val="007A528B"/>
    <w:rsid w:val="007A55C1"/>
    <w:rsid w:val="007A5A3F"/>
    <w:rsid w:val="007A5A4E"/>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774"/>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2DCF"/>
    <w:rsid w:val="007F317B"/>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CB1"/>
    <w:rsid w:val="00801D96"/>
    <w:rsid w:val="0080208F"/>
    <w:rsid w:val="008020CC"/>
    <w:rsid w:val="0080258D"/>
    <w:rsid w:val="008031B0"/>
    <w:rsid w:val="008036CF"/>
    <w:rsid w:val="00803AA7"/>
    <w:rsid w:val="00803EE2"/>
    <w:rsid w:val="00804570"/>
    <w:rsid w:val="00804823"/>
    <w:rsid w:val="00804C30"/>
    <w:rsid w:val="00804D18"/>
    <w:rsid w:val="00804ECF"/>
    <w:rsid w:val="0080500A"/>
    <w:rsid w:val="00805264"/>
    <w:rsid w:val="008052BA"/>
    <w:rsid w:val="008058E2"/>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4131"/>
    <w:rsid w:val="00824D65"/>
    <w:rsid w:val="00825245"/>
    <w:rsid w:val="008253EA"/>
    <w:rsid w:val="008261B8"/>
    <w:rsid w:val="00826634"/>
    <w:rsid w:val="008266CF"/>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18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5F04"/>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406"/>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5A4A"/>
    <w:rsid w:val="00876044"/>
    <w:rsid w:val="008760D6"/>
    <w:rsid w:val="008762A4"/>
    <w:rsid w:val="00876551"/>
    <w:rsid w:val="008767DF"/>
    <w:rsid w:val="008769AD"/>
    <w:rsid w:val="00876B94"/>
    <w:rsid w:val="00876CC1"/>
    <w:rsid w:val="00876D08"/>
    <w:rsid w:val="00876F06"/>
    <w:rsid w:val="00877671"/>
    <w:rsid w:val="008776A6"/>
    <w:rsid w:val="00877CCD"/>
    <w:rsid w:val="00880FDA"/>
    <w:rsid w:val="0088107A"/>
    <w:rsid w:val="00881101"/>
    <w:rsid w:val="008813DB"/>
    <w:rsid w:val="008814FB"/>
    <w:rsid w:val="00881C25"/>
    <w:rsid w:val="00881F47"/>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1CD"/>
    <w:rsid w:val="00887A8D"/>
    <w:rsid w:val="00887C7E"/>
    <w:rsid w:val="008900C1"/>
    <w:rsid w:val="008907E1"/>
    <w:rsid w:val="00890DB1"/>
    <w:rsid w:val="00890F73"/>
    <w:rsid w:val="00891623"/>
    <w:rsid w:val="008917AD"/>
    <w:rsid w:val="00891D36"/>
    <w:rsid w:val="00891F6A"/>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7B6"/>
    <w:rsid w:val="00896BEF"/>
    <w:rsid w:val="008972EF"/>
    <w:rsid w:val="00897489"/>
    <w:rsid w:val="00897684"/>
    <w:rsid w:val="008976B4"/>
    <w:rsid w:val="0089780D"/>
    <w:rsid w:val="00897B01"/>
    <w:rsid w:val="00897F0D"/>
    <w:rsid w:val="00897FFC"/>
    <w:rsid w:val="008A06DA"/>
    <w:rsid w:val="008A0C6C"/>
    <w:rsid w:val="008A0E5E"/>
    <w:rsid w:val="008A1450"/>
    <w:rsid w:val="008A1954"/>
    <w:rsid w:val="008A1C07"/>
    <w:rsid w:val="008A1DE8"/>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EF0"/>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AAF"/>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CB9"/>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4"/>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11"/>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3FE"/>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476"/>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3C"/>
    <w:rsid w:val="00944887"/>
    <w:rsid w:val="009448C2"/>
    <w:rsid w:val="009449E4"/>
    <w:rsid w:val="00944A8F"/>
    <w:rsid w:val="00944CDB"/>
    <w:rsid w:val="009451C7"/>
    <w:rsid w:val="0094543D"/>
    <w:rsid w:val="00945B6B"/>
    <w:rsid w:val="00945F49"/>
    <w:rsid w:val="00946209"/>
    <w:rsid w:val="0094658B"/>
    <w:rsid w:val="00946DD2"/>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CFA"/>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B11"/>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33B8"/>
    <w:rsid w:val="00983578"/>
    <w:rsid w:val="0098364B"/>
    <w:rsid w:val="00983683"/>
    <w:rsid w:val="0098372F"/>
    <w:rsid w:val="00983947"/>
    <w:rsid w:val="0098398F"/>
    <w:rsid w:val="00983B38"/>
    <w:rsid w:val="00983F4D"/>
    <w:rsid w:val="009847DF"/>
    <w:rsid w:val="00984992"/>
    <w:rsid w:val="009854F3"/>
    <w:rsid w:val="00985749"/>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58E"/>
    <w:rsid w:val="009A1EE1"/>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E0C"/>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644C"/>
    <w:rsid w:val="009B666E"/>
    <w:rsid w:val="009B68AB"/>
    <w:rsid w:val="009B6F50"/>
    <w:rsid w:val="009B706A"/>
    <w:rsid w:val="009B71F1"/>
    <w:rsid w:val="009B7505"/>
    <w:rsid w:val="009B7847"/>
    <w:rsid w:val="009B7E7E"/>
    <w:rsid w:val="009C0217"/>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AC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6C3"/>
    <w:rsid w:val="009E377D"/>
    <w:rsid w:val="009E3D24"/>
    <w:rsid w:val="009E3F7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0F5A"/>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6E8"/>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4B1"/>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6A84"/>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5EA"/>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6A"/>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AC8"/>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293"/>
    <w:rsid w:val="00AE5480"/>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C1"/>
    <w:rsid w:val="00AF2909"/>
    <w:rsid w:val="00AF3249"/>
    <w:rsid w:val="00AF3270"/>
    <w:rsid w:val="00AF3716"/>
    <w:rsid w:val="00AF3C74"/>
    <w:rsid w:val="00AF3E32"/>
    <w:rsid w:val="00AF3FBB"/>
    <w:rsid w:val="00AF4974"/>
    <w:rsid w:val="00AF4E4E"/>
    <w:rsid w:val="00AF51B4"/>
    <w:rsid w:val="00AF5446"/>
    <w:rsid w:val="00AF54F6"/>
    <w:rsid w:val="00AF58E2"/>
    <w:rsid w:val="00AF59F4"/>
    <w:rsid w:val="00AF6044"/>
    <w:rsid w:val="00AF6056"/>
    <w:rsid w:val="00AF637F"/>
    <w:rsid w:val="00AF638E"/>
    <w:rsid w:val="00AF6577"/>
    <w:rsid w:val="00AF6F60"/>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212"/>
    <w:rsid w:val="00B10AE9"/>
    <w:rsid w:val="00B1135F"/>
    <w:rsid w:val="00B11517"/>
    <w:rsid w:val="00B1174C"/>
    <w:rsid w:val="00B1183C"/>
    <w:rsid w:val="00B11943"/>
    <w:rsid w:val="00B11BF7"/>
    <w:rsid w:val="00B11DB3"/>
    <w:rsid w:val="00B11E6C"/>
    <w:rsid w:val="00B120E1"/>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5C13"/>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64"/>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373"/>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6F"/>
    <w:rsid w:val="00BB4EAE"/>
    <w:rsid w:val="00BB5128"/>
    <w:rsid w:val="00BB53AB"/>
    <w:rsid w:val="00BB60D9"/>
    <w:rsid w:val="00BB64E7"/>
    <w:rsid w:val="00BB6528"/>
    <w:rsid w:val="00BB6C1B"/>
    <w:rsid w:val="00BB744C"/>
    <w:rsid w:val="00BB78BA"/>
    <w:rsid w:val="00BB7BCE"/>
    <w:rsid w:val="00BC0723"/>
    <w:rsid w:val="00BC098D"/>
    <w:rsid w:val="00BC0C04"/>
    <w:rsid w:val="00BC0D75"/>
    <w:rsid w:val="00BC105F"/>
    <w:rsid w:val="00BC1604"/>
    <w:rsid w:val="00BC161A"/>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22"/>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1C5"/>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4D4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3D"/>
    <w:rsid w:val="00C5260C"/>
    <w:rsid w:val="00C52680"/>
    <w:rsid w:val="00C52756"/>
    <w:rsid w:val="00C5293F"/>
    <w:rsid w:val="00C53149"/>
    <w:rsid w:val="00C534AA"/>
    <w:rsid w:val="00C53709"/>
    <w:rsid w:val="00C53E2C"/>
    <w:rsid w:val="00C544F7"/>
    <w:rsid w:val="00C545AB"/>
    <w:rsid w:val="00C546EF"/>
    <w:rsid w:val="00C54A5C"/>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119"/>
    <w:rsid w:val="00C606F4"/>
    <w:rsid w:val="00C60D0F"/>
    <w:rsid w:val="00C613BB"/>
    <w:rsid w:val="00C6184B"/>
    <w:rsid w:val="00C618C8"/>
    <w:rsid w:val="00C61AED"/>
    <w:rsid w:val="00C61E4F"/>
    <w:rsid w:val="00C61ED3"/>
    <w:rsid w:val="00C6224C"/>
    <w:rsid w:val="00C62507"/>
    <w:rsid w:val="00C62651"/>
    <w:rsid w:val="00C62700"/>
    <w:rsid w:val="00C6299C"/>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335"/>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4FC"/>
    <w:rsid w:val="00C84A36"/>
    <w:rsid w:val="00C84A37"/>
    <w:rsid w:val="00C84C80"/>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935"/>
    <w:rsid w:val="00C91E5B"/>
    <w:rsid w:val="00C92206"/>
    <w:rsid w:val="00C9257C"/>
    <w:rsid w:val="00C92A84"/>
    <w:rsid w:val="00C92B0F"/>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38"/>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4C"/>
    <w:rsid w:val="00CB64B4"/>
    <w:rsid w:val="00CB64BB"/>
    <w:rsid w:val="00CB6931"/>
    <w:rsid w:val="00CB6BBA"/>
    <w:rsid w:val="00CB6CF3"/>
    <w:rsid w:val="00CB746C"/>
    <w:rsid w:val="00CB7507"/>
    <w:rsid w:val="00CB757D"/>
    <w:rsid w:val="00CB7E82"/>
    <w:rsid w:val="00CC065C"/>
    <w:rsid w:val="00CC16D9"/>
    <w:rsid w:val="00CC1A5A"/>
    <w:rsid w:val="00CC1C3B"/>
    <w:rsid w:val="00CC1DE7"/>
    <w:rsid w:val="00CC1F25"/>
    <w:rsid w:val="00CC2269"/>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20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93A"/>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BE6"/>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5E6E"/>
    <w:rsid w:val="00D160B9"/>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46E"/>
    <w:rsid w:val="00D27AA0"/>
    <w:rsid w:val="00D27EBD"/>
    <w:rsid w:val="00D27F78"/>
    <w:rsid w:val="00D31B59"/>
    <w:rsid w:val="00D31BC4"/>
    <w:rsid w:val="00D31F09"/>
    <w:rsid w:val="00D31FCA"/>
    <w:rsid w:val="00D323C5"/>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31"/>
    <w:rsid w:val="00D42192"/>
    <w:rsid w:val="00D42644"/>
    <w:rsid w:val="00D42CE0"/>
    <w:rsid w:val="00D42E6A"/>
    <w:rsid w:val="00D4322A"/>
    <w:rsid w:val="00D4362A"/>
    <w:rsid w:val="00D43AC0"/>
    <w:rsid w:val="00D43AE6"/>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2DF1"/>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522"/>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4D9"/>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879"/>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0F4D"/>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8F8"/>
    <w:rsid w:val="00DE0CB4"/>
    <w:rsid w:val="00DE0E30"/>
    <w:rsid w:val="00DE0EED"/>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DA9"/>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8C0"/>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2FD"/>
    <w:rsid w:val="00E676FE"/>
    <w:rsid w:val="00E67CB4"/>
    <w:rsid w:val="00E701DD"/>
    <w:rsid w:val="00E70507"/>
    <w:rsid w:val="00E705BD"/>
    <w:rsid w:val="00E708F6"/>
    <w:rsid w:val="00E70B81"/>
    <w:rsid w:val="00E71038"/>
    <w:rsid w:val="00E7139A"/>
    <w:rsid w:val="00E713F5"/>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BF9"/>
    <w:rsid w:val="00E86EC9"/>
    <w:rsid w:val="00E8725E"/>
    <w:rsid w:val="00E872A9"/>
    <w:rsid w:val="00E873FE"/>
    <w:rsid w:val="00E87603"/>
    <w:rsid w:val="00E87CD8"/>
    <w:rsid w:val="00E90153"/>
    <w:rsid w:val="00E901BA"/>
    <w:rsid w:val="00E908BF"/>
    <w:rsid w:val="00E90ABC"/>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0F2"/>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8A2"/>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79F"/>
    <w:rsid w:val="00EC5984"/>
    <w:rsid w:val="00EC5AFE"/>
    <w:rsid w:val="00EC5C4F"/>
    <w:rsid w:val="00EC62EB"/>
    <w:rsid w:val="00EC65CA"/>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F9"/>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EF7BF6"/>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1D7"/>
    <w:rsid w:val="00F10627"/>
    <w:rsid w:val="00F10698"/>
    <w:rsid w:val="00F10E2C"/>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8F5"/>
    <w:rsid w:val="00F25B8A"/>
    <w:rsid w:val="00F2606E"/>
    <w:rsid w:val="00F2610E"/>
    <w:rsid w:val="00F262DB"/>
    <w:rsid w:val="00F26883"/>
    <w:rsid w:val="00F26BC2"/>
    <w:rsid w:val="00F26EA4"/>
    <w:rsid w:val="00F2736C"/>
    <w:rsid w:val="00F27503"/>
    <w:rsid w:val="00F275CA"/>
    <w:rsid w:val="00F27A04"/>
    <w:rsid w:val="00F27C92"/>
    <w:rsid w:val="00F304A0"/>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49A"/>
    <w:rsid w:val="00F42FB3"/>
    <w:rsid w:val="00F43C80"/>
    <w:rsid w:val="00F43E7D"/>
    <w:rsid w:val="00F442A1"/>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897"/>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547"/>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646"/>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B3A"/>
    <w:rsid w:val="00F81C6D"/>
    <w:rsid w:val="00F81F9F"/>
    <w:rsid w:val="00F82557"/>
    <w:rsid w:val="00F82D4F"/>
    <w:rsid w:val="00F82D74"/>
    <w:rsid w:val="00F82DD6"/>
    <w:rsid w:val="00F8393A"/>
    <w:rsid w:val="00F839E2"/>
    <w:rsid w:val="00F83B03"/>
    <w:rsid w:val="00F83C32"/>
    <w:rsid w:val="00F84013"/>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4FC"/>
    <w:rsid w:val="00FB7B21"/>
    <w:rsid w:val="00FB7C0F"/>
    <w:rsid w:val="00FC0A77"/>
    <w:rsid w:val="00FC0CA7"/>
    <w:rsid w:val="00FC0E4F"/>
    <w:rsid w:val="00FC0EE8"/>
    <w:rsid w:val="00FC0F81"/>
    <w:rsid w:val="00FC1113"/>
    <w:rsid w:val="00FC12B1"/>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8D9"/>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3EQ6UJ4K66FU-4-34084</_dlc_DocId>
    <_dlc_DocIdUrl xmlns="df4eea7b-52db-4162-980b-b352f1b580a3">
      <Url>https://projects.qualcomm.com/sites/meridian/_layouts/15/DocIdRedir.aspx?ID=3EQ6UJ4K66FU-4-34084</Url>
      <Description>3EQ6UJ4K66FU-4-34084</Description>
    </_dlc_DocIdUrl>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F6AB911D-CC2A-44DF-B06D-7A426035A71D}">
  <ds:schemaRefs>
    <ds:schemaRef ds:uri="http://schemas.openxmlformats.org/officeDocument/2006/bibliography"/>
  </ds:schemaRefs>
</ds:datastoreItem>
</file>

<file path=customXml/itemProps5.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79A231-F106-42A3-8575-673BB0EC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4311</TotalTime>
  <Pages>9</Pages>
  <Words>4240</Words>
  <Characters>24169</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28353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Peter Gaal</cp:lastModifiedBy>
  <cp:revision>199</cp:revision>
  <cp:lastPrinted>2019-01-10T09:30:00Z</cp:lastPrinted>
  <dcterms:created xsi:type="dcterms:W3CDTF">2018-09-23T23:23:00Z</dcterms:created>
  <dcterms:modified xsi:type="dcterms:W3CDTF">2019-01-12T06:28:00Z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f903428a-74f0-470b-9e7b-a947080b0533</vt:lpwstr>
  </property>
</Properties>
</file>